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EE" w:rsidRPr="004049A6" w:rsidRDefault="007E53EE" w:rsidP="007E53EE">
      <w:pPr>
        <w:autoSpaceDE w:val="0"/>
        <w:autoSpaceDN w:val="0"/>
        <w:adjustRightInd w:val="0"/>
        <w:spacing w:after="0" w:line="240" w:lineRule="auto"/>
        <w:jc w:val="center"/>
        <w:rPr>
          <w:rFonts w:ascii="Times New Roman" w:hAnsi="Times New Roman" w:cs="Times New Roman"/>
          <w:sz w:val="32"/>
          <w:szCs w:val="32"/>
        </w:rPr>
      </w:pPr>
      <w:r w:rsidRPr="004049A6">
        <w:rPr>
          <w:rFonts w:ascii="Times New Roman" w:hAnsi="Times New Roman" w:cs="Times New Roman"/>
          <w:sz w:val="32"/>
          <w:szCs w:val="32"/>
        </w:rPr>
        <w:t>The Causal Effect of Option Pay on Corporate Risk</w:t>
      </w:r>
    </w:p>
    <w:p w:rsidR="007E53EE" w:rsidRPr="004049A6" w:rsidRDefault="007E53EE" w:rsidP="007E53EE">
      <w:pPr>
        <w:autoSpaceDE w:val="0"/>
        <w:autoSpaceDN w:val="0"/>
        <w:adjustRightInd w:val="0"/>
        <w:spacing w:after="0" w:line="240" w:lineRule="auto"/>
        <w:jc w:val="center"/>
        <w:rPr>
          <w:rFonts w:ascii="Times New Roman" w:hAnsi="Times New Roman" w:cs="Times New Roman"/>
          <w:sz w:val="32"/>
          <w:szCs w:val="32"/>
        </w:rPr>
      </w:pPr>
      <w:r w:rsidRPr="004049A6">
        <w:rPr>
          <w:rFonts w:ascii="Times New Roman" w:hAnsi="Times New Roman" w:cs="Times New Roman"/>
          <w:sz w:val="32"/>
          <w:szCs w:val="32"/>
        </w:rPr>
        <w:t>Management: Evidence from the Oil and Gas Industry</w:t>
      </w:r>
      <w:r w:rsidR="00052812" w:rsidRPr="00497CD1">
        <w:rPr>
          <w:rStyle w:val="FootnoteReference"/>
          <w:sz w:val="24"/>
        </w:rPr>
        <w:t xml:space="preserve"> </w:t>
      </w:r>
      <w:r w:rsidR="00052812" w:rsidRPr="00052812">
        <w:rPr>
          <w:rStyle w:val="FootnoteReference"/>
          <w:sz w:val="32"/>
          <w:szCs w:val="32"/>
        </w:rPr>
        <w:footnoteReference w:customMarkFollows="1" w:id="1"/>
        <w:sym w:font="Symbol" w:char="F02A"/>
      </w:r>
    </w:p>
    <w:p w:rsidR="007E53EE" w:rsidRDefault="007E53EE" w:rsidP="007E53EE">
      <w:pPr>
        <w:autoSpaceDE w:val="0"/>
        <w:autoSpaceDN w:val="0"/>
        <w:adjustRightInd w:val="0"/>
        <w:spacing w:after="0" w:line="240" w:lineRule="auto"/>
        <w:rPr>
          <w:rFonts w:ascii="Times New Roman" w:hAnsi="Times New Roman" w:cs="Times New Roman"/>
        </w:rPr>
      </w:pPr>
    </w:p>
    <w:p w:rsidR="00873E65" w:rsidRPr="004049A6" w:rsidRDefault="00873E65" w:rsidP="007E53EE">
      <w:pPr>
        <w:autoSpaceDE w:val="0"/>
        <w:autoSpaceDN w:val="0"/>
        <w:adjustRightInd w:val="0"/>
        <w:spacing w:after="0" w:line="240" w:lineRule="auto"/>
        <w:rPr>
          <w:rFonts w:ascii="Times New Roman" w:hAnsi="Times New Roman" w:cs="Times New Roman"/>
        </w:rPr>
      </w:pPr>
    </w:p>
    <w:p w:rsidR="00F11962" w:rsidRPr="00F11962" w:rsidRDefault="00D72AC6" w:rsidP="00F11962">
      <w:pPr>
        <w:spacing w:after="0" w:line="240" w:lineRule="auto"/>
        <w:jc w:val="center"/>
        <w:rPr>
          <w:rFonts w:ascii="Times New Roman" w:eastAsia="Times New Roman" w:hAnsi="Times New Roman" w:cs="Times New Roman"/>
        </w:rPr>
      </w:pPr>
      <w:r w:rsidRPr="00D72AC6">
        <w:rPr>
          <w:rFonts w:ascii="Times New Roman" w:eastAsia="Times New Roman" w:hAnsi="Times New Roman" w:cs="Times New Roman"/>
        </w:rPr>
        <w:t>Tor-Erik Bakke</w:t>
      </w:r>
    </w:p>
    <w:p w:rsidR="00F11962" w:rsidRPr="00F11962" w:rsidRDefault="00F11962" w:rsidP="00F11962">
      <w:pPr>
        <w:spacing w:after="0" w:line="240" w:lineRule="auto"/>
        <w:jc w:val="center"/>
        <w:rPr>
          <w:rFonts w:ascii="Times New Roman" w:eastAsia="Times New Roman" w:hAnsi="Times New Roman" w:cs="Times New Roman"/>
        </w:rPr>
      </w:pPr>
      <w:r w:rsidRPr="00F11962">
        <w:rPr>
          <w:rFonts w:ascii="Times New Roman" w:eastAsia="Times New Roman" w:hAnsi="Times New Roman" w:cs="Times New Roman"/>
        </w:rPr>
        <w:t>Price College of Business, University of Oklahoma, Norman, OK 73019, USA</w:t>
      </w:r>
    </w:p>
    <w:p w:rsidR="00F11962" w:rsidRPr="00F11962" w:rsidRDefault="00F11962" w:rsidP="00F119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Phone</w:t>
      </w:r>
      <w:r w:rsidRPr="00F11962">
        <w:rPr>
          <w:rFonts w:ascii="Times New Roman" w:eastAsia="Times New Roman" w:hAnsi="Times New Roman" w:cs="Times New Roman"/>
        </w:rPr>
        <w:t>: (405) 325-</w:t>
      </w:r>
      <w:r w:rsidR="00D72AC6">
        <w:rPr>
          <w:rFonts w:ascii="Times New Roman" w:eastAsia="Times New Roman" w:hAnsi="Times New Roman" w:cs="Times New Roman"/>
        </w:rPr>
        <w:t>5591</w:t>
      </w:r>
      <w:r w:rsidRPr="00F11962">
        <w:rPr>
          <w:rFonts w:ascii="Times New Roman" w:eastAsia="Times New Roman" w:hAnsi="Times New Roman" w:cs="Times New Roman"/>
        </w:rPr>
        <w:t xml:space="preserve">; E-mail: </w:t>
      </w:r>
      <w:hyperlink r:id="rId8" w:history="1">
        <w:r w:rsidR="00D72AC6" w:rsidRPr="00B52141">
          <w:rPr>
            <w:rStyle w:val="Hyperlink"/>
            <w:rFonts w:ascii="Times New Roman" w:eastAsia="Times New Roman" w:hAnsi="Times New Roman" w:cs="Times New Roman"/>
            <w:i/>
            <w:iCs/>
          </w:rPr>
          <w:t>tbakke@ou.edu</w:t>
        </w:r>
      </w:hyperlink>
    </w:p>
    <w:p w:rsidR="00E6657F" w:rsidRDefault="00E6657F" w:rsidP="00E6657F">
      <w:pPr>
        <w:autoSpaceDE w:val="0"/>
        <w:autoSpaceDN w:val="0"/>
        <w:adjustRightInd w:val="0"/>
        <w:spacing w:after="0" w:line="240" w:lineRule="auto"/>
        <w:jc w:val="center"/>
        <w:rPr>
          <w:rFonts w:ascii="Times New Roman" w:hAnsi="Times New Roman" w:cs="Times New Roman"/>
        </w:rPr>
      </w:pPr>
    </w:p>
    <w:p w:rsidR="00E6657F" w:rsidRPr="004049A6" w:rsidRDefault="00E6657F" w:rsidP="00E6657F">
      <w:pPr>
        <w:autoSpaceDE w:val="0"/>
        <w:autoSpaceDN w:val="0"/>
        <w:adjustRightInd w:val="0"/>
        <w:spacing w:after="0" w:line="240" w:lineRule="auto"/>
        <w:jc w:val="center"/>
        <w:rPr>
          <w:rFonts w:ascii="Times New Roman" w:hAnsi="Times New Roman" w:cs="Times New Roman"/>
        </w:rPr>
      </w:pPr>
      <w:r w:rsidRPr="00F11962">
        <w:rPr>
          <w:rFonts w:ascii="Times New Roman" w:hAnsi="Times New Roman" w:cs="Times New Roman"/>
        </w:rPr>
        <w:t>Hamed Mahmudi</w:t>
      </w:r>
    </w:p>
    <w:p w:rsidR="00E6657F" w:rsidRDefault="00E6657F" w:rsidP="00E6657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Price College of Business, </w:t>
      </w:r>
      <w:r w:rsidRPr="00F11962">
        <w:rPr>
          <w:rFonts w:ascii="Times New Roman" w:eastAsia="Times New Roman" w:hAnsi="Times New Roman" w:cs="Times New Roman"/>
        </w:rPr>
        <w:t>University of Oklahoma</w:t>
      </w:r>
      <w:r>
        <w:rPr>
          <w:rFonts w:ascii="Times New Roman" w:eastAsia="Times New Roman" w:hAnsi="Times New Roman" w:cs="Times New Roman"/>
        </w:rPr>
        <w:t>,</w:t>
      </w:r>
      <w:r w:rsidRPr="00F11962">
        <w:rPr>
          <w:rFonts w:ascii="Times New Roman" w:eastAsia="Times New Roman" w:hAnsi="Times New Roman" w:cs="Times New Roman"/>
        </w:rPr>
        <w:t xml:space="preserve"> Norman, O</w:t>
      </w:r>
      <w:r>
        <w:rPr>
          <w:rFonts w:ascii="Times New Roman" w:eastAsia="Times New Roman" w:hAnsi="Times New Roman" w:cs="Times New Roman"/>
        </w:rPr>
        <w:t>K 73019, USA</w:t>
      </w:r>
    </w:p>
    <w:p w:rsidR="00E6657F" w:rsidRDefault="00E6657F" w:rsidP="00E6657F">
      <w:pPr>
        <w:spacing w:after="0" w:line="240" w:lineRule="auto"/>
        <w:jc w:val="center"/>
        <w:rPr>
          <w:rFonts w:ascii="Times New Roman" w:eastAsia="Times New Roman" w:hAnsi="Times New Roman" w:cs="Times New Roman"/>
        </w:rPr>
      </w:pPr>
      <w:r w:rsidRPr="00F11962">
        <w:rPr>
          <w:rFonts w:ascii="Times New Roman" w:eastAsia="Times New Roman" w:hAnsi="Times New Roman" w:cs="Times New Roman"/>
        </w:rPr>
        <w:t>Phone: (405)325-1135</w:t>
      </w:r>
      <w:r>
        <w:rPr>
          <w:rFonts w:ascii="Times New Roman" w:eastAsia="Times New Roman" w:hAnsi="Times New Roman" w:cs="Times New Roman"/>
        </w:rPr>
        <w:t xml:space="preserve">; E-mail: </w:t>
      </w:r>
      <w:hyperlink r:id="rId9" w:history="1">
        <w:r w:rsidRPr="00F11962">
          <w:rPr>
            <w:rStyle w:val="Hyperlink"/>
            <w:rFonts w:ascii="Times New Roman" w:eastAsia="Times New Roman" w:hAnsi="Times New Roman" w:cs="Times New Roman"/>
            <w:i/>
          </w:rPr>
          <w:t>hamed@ou.edu</w:t>
        </w:r>
      </w:hyperlink>
    </w:p>
    <w:p w:rsidR="00F11962" w:rsidRDefault="00F11962" w:rsidP="00F11962">
      <w:pPr>
        <w:spacing w:after="0" w:line="240" w:lineRule="auto"/>
        <w:jc w:val="center"/>
        <w:rPr>
          <w:rFonts w:ascii="Times New Roman" w:eastAsia="Times New Roman" w:hAnsi="Times New Roman" w:cs="Times New Roman"/>
        </w:rPr>
      </w:pPr>
    </w:p>
    <w:p w:rsidR="00F11962" w:rsidRPr="00F11962" w:rsidRDefault="00F11962" w:rsidP="00F11962">
      <w:pPr>
        <w:spacing w:after="0" w:line="240" w:lineRule="auto"/>
        <w:jc w:val="center"/>
        <w:rPr>
          <w:rFonts w:ascii="Times New Roman" w:eastAsia="Times New Roman" w:hAnsi="Times New Roman" w:cs="Times New Roman"/>
        </w:rPr>
      </w:pPr>
      <w:r w:rsidRPr="00F11962">
        <w:rPr>
          <w:rFonts w:ascii="Times New Roman" w:eastAsia="Times New Roman" w:hAnsi="Times New Roman" w:cs="Times New Roman"/>
        </w:rPr>
        <w:t>Chitru S. Fernando</w:t>
      </w:r>
    </w:p>
    <w:p w:rsidR="00F11962" w:rsidRPr="00F11962" w:rsidRDefault="00F11962" w:rsidP="00F11962">
      <w:pPr>
        <w:spacing w:after="0" w:line="240" w:lineRule="auto"/>
        <w:jc w:val="center"/>
        <w:rPr>
          <w:rFonts w:ascii="Times New Roman" w:eastAsia="Times New Roman" w:hAnsi="Times New Roman" w:cs="Times New Roman"/>
        </w:rPr>
      </w:pPr>
      <w:r w:rsidRPr="00F11962">
        <w:rPr>
          <w:rFonts w:ascii="Times New Roman" w:eastAsia="Times New Roman" w:hAnsi="Times New Roman" w:cs="Times New Roman"/>
        </w:rPr>
        <w:t>Price College of Business, University of Oklahoma, Norman, OK 73019, USA</w:t>
      </w:r>
    </w:p>
    <w:p w:rsidR="00F11962" w:rsidRPr="00F11962" w:rsidRDefault="00F11962" w:rsidP="00F11962">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rPr>
        <w:t>Phone</w:t>
      </w:r>
      <w:r w:rsidRPr="00F11962">
        <w:rPr>
          <w:rFonts w:ascii="Times New Roman" w:eastAsia="Times New Roman" w:hAnsi="Times New Roman" w:cs="Times New Roman"/>
        </w:rPr>
        <w:t xml:space="preserve">: (405) 325-2906; E-mail: </w:t>
      </w:r>
      <w:hyperlink r:id="rId10" w:history="1">
        <w:r w:rsidRPr="00F11962">
          <w:rPr>
            <w:rFonts w:ascii="Times New Roman" w:eastAsia="Times New Roman" w:hAnsi="Times New Roman" w:cs="Times New Roman"/>
            <w:i/>
            <w:iCs/>
            <w:color w:val="0000FF"/>
            <w:u w:val="single"/>
          </w:rPr>
          <w:t>cfernando@ou.edu</w:t>
        </w:r>
      </w:hyperlink>
    </w:p>
    <w:p w:rsidR="00F11962" w:rsidRPr="00F11962" w:rsidRDefault="00F11962" w:rsidP="00F11962">
      <w:pPr>
        <w:spacing w:after="0" w:line="240" w:lineRule="auto"/>
        <w:jc w:val="center"/>
        <w:rPr>
          <w:rFonts w:ascii="Times New Roman" w:eastAsia="Times New Roman" w:hAnsi="Times New Roman" w:cs="Times New Roman"/>
        </w:rPr>
      </w:pPr>
    </w:p>
    <w:p w:rsidR="00F11962" w:rsidRPr="00F11962" w:rsidRDefault="00D72AC6" w:rsidP="00F11962">
      <w:pPr>
        <w:spacing w:after="0" w:line="240" w:lineRule="auto"/>
        <w:jc w:val="center"/>
        <w:rPr>
          <w:rFonts w:ascii="Times New Roman" w:eastAsia="Times New Roman" w:hAnsi="Times New Roman" w:cs="Times New Roman"/>
        </w:rPr>
      </w:pPr>
      <w:r w:rsidRPr="00D72AC6">
        <w:rPr>
          <w:rFonts w:ascii="Times New Roman" w:eastAsia="Times New Roman" w:hAnsi="Times New Roman" w:cs="Times New Roman"/>
        </w:rPr>
        <w:t>Jesus M. Salas</w:t>
      </w:r>
    </w:p>
    <w:p w:rsidR="00F11962" w:rsidRPr="00F11962" w:rsidRDefault="00D72AC6" w:rsidP="00F11962">
      <w:pPr>
        <w:spacing w:after="0" w:line="240" w:lineRule="auto"/>
        <w:jc w:val="center"/>
        <w:rPr>
          <w:rFonts w:ascii="Times New Roman" w:eastAsia="Times New Roman" w:hAnsi="Times New Roman" w:cs="Times New Roman"/>
        </w:rPr>
      </w:pPr>
      <w:proofErr w:type="spellStart"/>
      <w:r w:rsidRPr="00D72AC6">
        <w:rPr>
          <w:rFonts w:ascii="Times New Roman" w:eastAsia="Times New Roman" w:hAnsi="Times New Roman" w:cs="Times New Roman"/>
        </w:rPr>
        <w:t>Perella</w:t>
      </w:r>
      <w:proofErr w:type="spellEnd"/>
      <w:r w:rsidRPr="00D72AC6">
        <w:rPr>
          <w:rFonts w:ascii="Times New Roman" w:eastAsia="Times New Roman" w:hAnsi="Times New Roman" w:cs="Times New Roman"/>
        </w:rPr>
        <w:t xml:space="preserve"> Department of Finance, Lehigh University, Bethlehem, PA</w:t>
      </w:r>
      <w:r>
        <w:rPr>
          <w:rFonts w:ascii="Times New Roman" w:eastAsia="Times New Roman" w:hAnsi="Times New Roman" w:cs="Times New Roman"/>
        </w:rPr>
        <w:t xml:space="preserve"> </w:t>
      </w:r>
      <w:r w:rsidRPr="00D72AC6">
        <w:rPr>
          <w:rFonts w:ascii="Times New Roman" w:eastAsia="Times New Roman" w:hAnsi="Times New Roman" w:cs="Times New Roman"/>
        </w:rPr>
        <w:t>18015</w:t>
      </w:r>
      <w:r>
        <w:rPr>
          <w:rFonts w:ascii="Times New Roman" w:eastAsia="Times New Roman" w:hAnsi="Times New Roman" w:cs="Times New Roman"/>
        </w:rPr>
        <w:t>, USA</w:t>
      </w:r>
    </w:p>
    <w:p w:rsidR="0002729F" w:rsidRPr="00D72AC6" w:rsidRDefault="00D72AC6" w:rsidP="00D72A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Tel: (610</w:t>
      </w:r>
      <w:r w:rsidR="00F11962" w:rsidRPr="00F11962">
        <w:rPr>
          <w:rFonts w:ascii="Times New Roman" w:eastAsia="Times New Roman" w:hAnsi="Times New Roman" w:cs="Times New Roman"/>
        </w:rPr>
        <w:t xml:space="preserve">) </w:t>
      </w:r>
      <w:r>
        <w:rPr>
          <w:rFonts w:ascii="Times New Roman" w:eastAsia="Times New Roman" w:hAnsi="Times New Roman" w:cs="Times New Roman"/>
        </w:rPr>
        <w:t xml:space="preserve">758-3238; </w:t>
      </w:r>
      <w:r w:rsidR="00F11962" w:rsidRPr="00F11962">
        <w:rPr>
          <w:rFonts w:ascii="Times New Roman" w:eastAsia="Times New Roman" w:hAnsi="Times New Roman" w:cs="Times New Roman"/>
        </w:rPr>
        <w:t xml:space="preserve">E-mail: </w:t>
      </w:r>
      <w:hyperlink r:id="rId11" w:history="1">
        <w:r w:rsidRPr="00B52141">
          <w:rPr>
            <w:rStyle w:val="Hyperlink"/>
            <w:rFonts w:ascii="Times New Roman" w:eastAsia="Times New Roman" w:hAnsi="Times New Roman" w:cs="Times New Roman"/>
            <w:i/>
          </w:rPr>
          <w:t>jsalas@lehigh.edu</w:t>
        </w:r>
      </w:hyperlink>
    </w:p>
    <w:p w:rsidR="0002729F" w:rsidRPr="004049A6" w:rsidRDefault="0002729F" w:rsidP="007E53EE">
      <w:pPr>
        <w:autoSpaceDE w:val="0"/>
        <w:autoSpaceDN w:val="0"/>
        <w:adjustRightInd w:val="0"/>
        <w:spacing w:after="0" w:line="240" w:lineRule="auto"/>
        <w:rPr>
          <w:rFonts w:ascii="Times New Roman" w:hAnsi="Times New Roman" w:cs="Times New Roman"/>
        </w:rPr>
      </w:pPr>
    </w:p>
    <w:p w:rsidR="0002729F" w:rsidRPr="004049A6" w:rsidRDefault="0002729F" w:rsidP="007E53EE">
      <w:pPr>
        <w:autoSpaceDE w:val="0"/>
        <w:autoSpaceDN w:val="0"/>
        <w:adjustRightInd w:val="0"/>
        <w:spacing w:after="0" w:line="240" w:lineRule="auto"/>
        <w:rPr>
          <w:rFonts w:ascii="Times New Roman" w:hAnsi="Times New Roman" w:cs="Times New Roman"/>
        </w:rPr>
      </w:pPr>
    </w:p>
    <w:p w:rsidR="007E53EE" w:rsidRPr="004049A6" w:rsidRDefault="001E69D3" w:rsidP="007E53E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Febr</w:t>
      </w:r>
      <w:r w:rsidR="0083191E">
        <w:rPr>
          <w:rFonts w:ascii="Times New Roman" w:hAnsi="Times New Roman" w:cs="Times New Roman"/>
        </w:rPr>
        <w:t xml:space="preserve">uary </w:t>
      </w:r>
      <w:r w:rsidR="00634EF3">
        <w:rPr>
          <w:rFonts w:ascii="Times New Roman" w:hAnsi="Times New Roman" w:cs="Times New Roman"/>
        </w:rPr>
        <w:t>26</w:t>
      </w:r>
      <w:r w:rsidR="0083191E">
        <w:rPr>
          <w:rFonts w:ascii="Times New Roman" w:hAnsi="Times New Roman" w:cs="Times New Roman"/>
        </w:rPr>
        <w:t>, 2013</w:t>
      </w:r>
    </w:p>
    <w:p w:rsidR="007E53EE" w:rsidRPr="004049A6" w:rsidRDefault="007E53EE" w:rsidP="007E53EE">
      <w:pPr>
        <w:autoSpaceDE w:val="0"/>
        <w:autoSpaceDN w:val="0"/>
        <w:adjustRightInd w:val="0"/>
        <w:spacing w:after="0" w:line="240" w:lineRule="auto"/>
        <w:jc w:val="center"/>
        <w:rPr>
          <w:rFonts w:ascii="Times New Roman" w:hAnsi="Times New Roman" w:cs="Times New Roman"/>
        </w:rPr>
      </w:pPr>
    </w:p>
    <w:p w:rsidR="007E53EE" w:rsidRPr="004049A6" w:rsidRDefault="007E53EE" w:rsidP="007E53EE">
      <w:pPr>
        <w:autoSpaceDE w:val="0"/>
        <w:autoSpaceDN w:val="0"/>
        <w:adjustRightInd w:val="0"/>
        <w:spacing w:after="0" w:line="240" w:lineRule="auto"/>
        <w:jc w:val="center"/>
        <w:rPr>
          <w:rFonts w:ascii="Times New Roman" w:hAnsi="Times New Roman" w:cs="Times New Roman"/>
        </w:rPr>
      </w:pPr>
    </w:p>
    <w:p w:rsidR="007E53EE" w:rsidRPr="004049A6" w:rsidRDefault="007E53EE" w:rsidP="007E53EE">
      <w:pPr>
        <w:autoSpaceDE w:val="0"/>
        <w:autoSpaceDN w:val="0"/>
        <w:adjustRightInd w:val="0"/>
        <w:spacing w:after="0" w:line="240" w:lineRule="auto"/>
        <w:jc w:val="center"/>
        <w:rPr>
          <w:rFonts w:ascii="Times New Roman" w:hAnsi="Times New Roman" w:cs="Times New Roman"/>
          <w:sz w:val="26"/>
          <w:szCs w:val="26"/>
        </w:rPr>
      </w:pPr>
      <w:r w:rsidRPr="004049A6">
        <w:rPr>
          <w:rFonts w:ascii="Times New Roman" w:hAnsi="Times New Roman" w:cs="Times New Roman"/>
          <w:sz w:val="26"/>
          <w:szCs w:val="26"/>
        </w:rPr>
        <w:t>Abstract</w:t>
      </w:r>
    </w:p>
    <w:p w:rsidR="00D751F0" w:rsidRPr="004049A6" w:rsidRDefault="00D751F0" w:rsidP="007E53EE">
      <w:pPr>
        <w:autoSpaceDE w:val="0"/>
        <w:autoSpaceDN w:val="0"/>
        <w:adjustRightInd w:val="0"/>
        <w:spacing w:after="0" w:line="240" w:lineRule="auto"/>
        <w:jc w:val="center"/>
        <w:rPr>
          <w:rFonts w:ascii="Times New Roman" w:hAnsi="Times New Roman" w:cs="Times New Roman"/>
        </w:rPr>
      </w:pPr>
    </w:p>
    <w:p w:rsidR="007E53EE" w:rsidRPr="004049A6" w:rsidRDefault="007E53EE" w:rsidP="007E53EE">
      <w:pPr>
        <w:autoSpaceDE w:val="0"/>
        <w:autoSpaceDN w:val="0"/>
        <w:adjustRightInd w:val="0"/>
        <w:spacing w:after="0" w:line="240" w:lineRule="auto"/>
        <w:jc w:val="center"/>
        <w:rPr>
          <w:rFonts w:ascii="Times New Roman" w:hAnsi="Times New Roman" w:cs="Times New Roman"/>
        </w:rPr>
      </w:pPr>
    </w:p>
    <w:p w:rsidR="007E53EE" w:rsidRPr="004049A6" w:rsidRDefault="007E53EE" w:rsidP="003F467E">
      <w:pPr>
        <w:tabs>
          <w:tab w:val="left" w:pos="9360"/>
        </w:tabs>
        <w:autoSpaceDE w:val="0"/>
        <w:autoSpaceDN w:val="0"/>
        <w:adjustRightInd w:val="0"/>
        <w:spacing w:after="0" w:line="240" w:lineRule="auto"/>
        <w:jc w:val="both"/>
        <w:rPr>
          <w:rFonts w:ascii="Times New Roman" w:hAnsi="Times New Roman" w:cs="Times New Roman"/>
        </w:rPr>
      </w:pPr>
      <w:r w:rsidRPr="004049A6">
        <w:rPr>
          <w:rFonts w:ascii="Times New Roman" w:hAnsi="Times New Roman" w:cs="Times New Roman"/>
        </w:rPr>
        <w:t xml:space="preserve">We </w:t>
      </w:r>
      <w:r w:rsidR="00DD796C">
        <w:rPr>
          <w:rFonts w:ascii="Times New Roman" w:hAnsi="Times New Roman" w:cs="Times New Roman"/>
        </w:rPr>
        <w:t>revisit the contentious relation between option c</w:t>
      </w:r>
      <w:r w:rsidR="0025548A">
        <w:rPr>
          <w:rFonts w:ascii="Times New Roman" w:hAnsi="Times New Roman" w:cs="Times New Roman"/>
        </w:rPr>
        <w:t>ompensation and managerial risk-</w:t>
      </w:r>
      <w:r w:rsidR="00DD796C">
        <w:rPr>
          <w:rFonts w:ascii="Times New Roman" w:hAnsi="Times New Roman" w:cs="Times New Roman"/>
        </w:rPr>
        <w:t xml:space="preserve">taking by </w:t>
      </w:r>
      <w:r w:rsidRPr="004049A6">
        <w:rPr>
          <w:rFonts w:ascii="Times New Roman" w:hAnsi="Times New Roman" w:cs="Times New Roman"/>
        </w:rPr>
        <w:t>study</w:t>
      </w:r>
      <w:r w:rsidR="00DD796C">
        <w:rPr>
          <w:rFonts w:ascii="Times New Roman" w:hAnsi="Times New Roman" w:cs="Times New Roman"/>
        </w:rPr>
        <w:t>ing how changes triggered by the elimination of favorable accounting treatment</w:t>
      </w:r>
      <w:r w:rsidR="0025548A">
        <w:rPr>
          <w:rFonts w:ascii="Times New Roman" w:hAnsi="Times New Roman" w:cs="Times New Roman"/>
        </w:rPr>
        <w:t xml:space="preserve"> for </w:t>
      </w:r>
      <w:r w:rsidR="00DD796C">
        <w:rPr>
          <w:rFonts w:ascii="Times New Roman" w:hAnsi="Times New Roman" w:cs="Times New Roman"/>
        </w:rPr>
        <w:t xml:space="preserve">executive stock option grants (FAS 123R) affected </w:t>
      </w:r>
      <w:r w:rsidR="001B5204" w:rsidRPr="001B5204">
        <w:rPr>
          <w:rFonts w:ascii="Times New Roman" w:hAnsi="Times New Roman" w:cs="Times New Roman"/>
        </w:rPr>
        <w:t>hedging behavior in the oil and gas industry</w:t>
      </w:r>
      <w:r w:rsidRPr="004049A6">
        <w:rPr>
          <w:rFonts w:ascii="Times New Roman" w:hAnsi="Times New Roman" w:cs="Times New Roman"/>
        </w:rPr>
        <w:t>.</w:t>
      </w:r>
      <w:r w:rsidR="00D751F0" w:rsidRPr="004049A6">
        <w:rPr>
          <w:rFonts w:ascii="Times New Roman" w:hAnsi="Times New Roman" w:cs="Times New Roman"/>
        </w:rPr>
        <w:t xml:space="preserve"> </w:t>
      </w:r>
      <w:r w:rsidR="00D72AC6">
        <w:rPr>
          <w:rFonts w:ascii="Times New Roman" w:hAnsi="Times New Roman" w:cs="Times New Roman"/>
        </w:rPr>
        <w:t xml:space="preserve">We </w:t>
      </w:r>
      <w:r w:rsidRPr="004049A6">
        <w:rPr>
          <w:rFonts w:ascii="Times New Roman" w:hAnsi="Times New Roman" w:cs="Times New Roman"/>
        </w:rPr>
        <w:t>hypothesize that a decrease in sensitivity of CEO wealth to stock return volatility (</w:t>
      </w:r>
      <w:proofErr w:type="spellStart"/>
      <w:proofErr w:type="gramStart"/>
      <w:r w:rsidRPr="004049A6">
        <w:rPr>
          <w:rFonts w:ascii="Times New Roman" w:hAnsi="Times New Roman" w:cs="Times New Roman"/>
        </w:rPr>
        <w:t>vega</w:t>
      </w:r>
      <w:proofErr w:type="spellEnd"/>
      <w:proofErr w:type="gramEnd"/>
      <w:r w:rsidRPr="004049A6">
        <w:rPr>
          <w:rFonts w:ascii="Times New Roman" w:hAnsi="Times New Roman" w:cs="Times New Roman"/>
        </w:rPr>
        <w:t>)</w:t>
      </w:r>
      <w:r w:rsidR="00D751F0" w:rsidRPr="004049A6">
        <w:rPr>
          <w:rFonts w:ascii="Times New Roman" w:hAnsi="Times New Roman" w:cs="Times New Roman"/>
        </w:rPr>
        <w:t xml:space="preserve"> </w:t>
      </w:r>
      <w:r w:rsidRPr="004049A6">
        <w:rPr>
          <w:rFonts w:ascii="Times New Roman" w:hAnsi="Times New Roman" w:cs="Times New Roman"/>
        </w:rPr>
        <w:t>decreases CEO risk-taking incentives</w:t>
      </w:r>
      <w:r w:rsidR="00DD796C">
        <w:rPr>
          <w:rFonts w:ascii="Times New Roman" w:hAnsi="Times New Roman" w:cs="Times New Roman"/>
        </w:rPr>
        <w:t>, causing affected firms to hedge more</w:t>
      </w:r>
      <w:r w:rsidRPr="004049A6">
        <w:rPr>
          <w:rFonts w:ascii="Times New Roman" w:hAnsi="Times New Roman" w:cs="Times New Roman"/>
        </w:rPr>
        <w:t xml:space="preserve">. We use </w:t>
      </w:r>
      <w:r w:rsidR="00AA79E2">
        <w:rPr>
          <w:rFonts w:ascii="Times New Roman" w:hAnsi="Times New Roman" w:cs="Times New Roman"/>
        </w:rPr>
        <w:t xml:space="preserve">the </w:t>
      </w:r>
      <w:r w:rsidR="00D445F5">
        <w:rPr>
          <w:rFonts w:ascii="Times New Roman" w:hAnsi="Times New Roman" w:cs="Times New Roman"/>
        </w:rPr>
        <w:t>FAS 123R</w:t>
      </w:r>
      <w:r w:rsidRPr="004049A6">
        <w:rPr>
          <w:rFonts w:ascii="Times New Roman" w:hAnsi="Times New Roman" w:cs="Times New Roman"/>
        </w:rPr>
        <w:t xml:space="preserve"> </w:t>
      </w:r>
      <w:r w:rsidR="00AA79E2">
        <w:rPr>
          <w:rFonts w:ascii="Times New Roman" w:hAnsi="Times New Roman" w:cs="Times New Roman"/>
        </w:rPr>
        <w:t xml:space="preserve">compliance requirement </w:t>
      </w:r>
      <w:r w:rsidRPr="004049A6">
        <w:rPr>
          <w:rFonts w:ascii="Times New Roman" w:hAnsi="Times New Roman" w:cs="Times New Roman"/>
        </w:rPr>
        <w:t xml:space="preserve">to identify changes in CEO compensation </w:t>
      </w:r>
      <w:proofErr w:type="spellStart"/>
      <w:proofErr w:type="gramStart"/>
      <w:r w:rsidRPr="004049A6">
        <w:rPr>
          <w:rFonts w:ascii="Times New Roman" w:hAnsi="Times New Roman" w:cs="Times New Roman"/>
        </w:rPr>
        <w:t>vega</w:t>
      </w:r>
      <w:proofErr w:type="spellEnd"/>
      <w:proofErr w:type="gramEnd"/>
      <w:r w:rsidRPr="004049A6">
        <w:rPr>
          <w:rFonts w:ascii="Times New Roman" w:hAnsi="Times New Roman" w:cs="Times New Roman"/>
        </w:rPr>
        <w:t xml:space="preserve"> that are exogenous to corporate</w:t>
      </w:r>
      <w:r w:rsidR="00D751F0" w:rsidRPr="004049A6">
        <w:rPr>
          <w:rFonts w:ascii="Times New Roman" w:hAnsi="Times New Roman" w:cs="Times New Roman"/>
        </w:rPr>
        <w:t xml:space="preserve"> </w:t>
      </w:r>
      <w:r w:rsidRPr="004049A6">
        <w:rPr>
          <w:rFonts w:ascii="Times New Roman" w:hAnsi="Times New Roman" w:cs="Times New Roman"/>
        </w:rPr>
        <w:t xml:space="preserve">hedging policy. Using </w:t>
      </w:r>
      <w:r w:rsidR="0025548A" w:rsidRPr="004049A6">
        <w:rPr>
          <w:rFonts w:ascii="Times New Roman" w:hAnsi="Times New Roman" w:cs="Times New Roman"/>
        </w:rPr>
        <w:t>a difference</w:t>
      </w:r>
      <w:r w:rsidR="00E95233">
        <w:rPr>
          <w:rFonts w:ascii="Times New Roman" w:hAnsi="Times New Roman" w:cs="Times New Roman"/>
        </w:rPr>
        <w:t>s</w:t>
      </w:r>
      <w:r w:rsidR="0025548A" w:rsidRPr="004049A6">
        <w:rPr>
          <w:rFonts w:ascii="Times New Roman" w:hAnsi="Times New Roman" w:cs="Times New Roman"/>
        </w:rPr>
        <w:t xml:space="preserve">-in-differences approach </w:t>
      </w:r>
      <w:r w:rsidR="0025548A">
        <w:rPr>
          <w:rFonts w:ascii="Times New Roman" w:hAnsi="Times New Roman" w:cs="Times New Roman"/>
        </w:rPr>
        <w:t xml:space="preserve">that we apply to </w:t>
      </w:r>
      <w:r w:rsidRPr="004049A6">
        <w:rPr>
          <w:rFonts w:ascii="Times New Roman" w:hAnsi="Times New Roman" w:cs="Times New Roman"/>
        </w:rPr>
        <w:t xml:space="preserve">a hand-collected dataset </w:t>
      </w:r>
      <w:r w:rsidR="0025548A">
        <w:rPr>
          <w:rFonts w:ascii="Times New Roman" w:hAnsi="Times New Roman" w:cs="Times New Roman"/>
        </w:rPr>
        <w:t xml:space="preserve">of oil and gas firms </w:t>
      </w:r>
      <w:r w:rsidRPr="004049A6">
        <w:rPr>
          <w:rFonts w:ascii="Times New Roman" w:hAnsi="Times New Roman" w:cs="Times New Roman"/>
        </w:rPr>
        <w:t xml:space="preserve">with detailed </w:t>
      </w:r>
      <w:r w:rsidR="00615D46">
        <w:rPr>
          <w:rFonts w:ascii="Times New Roman" w:hAnsi="Times New Roman" w:cs="Times New Roman"/>
        </w:rPr>
        <w:t xml:space="preserve">hedging </w:t>
      </w:r>
      <w:r w:rsidRPr="004049A6">
        <w:rPr>
          <w:rFonts w:ascii="Times New Roman" w:hAnsi="Times New Roman" w:cs="Times New Roman"/>
        </w:rPr>
        <w:t>data</w:t>
      </w:r>
      <w:r w:rsidR="00D751F0" w:rsidRPr="004049A6">
        <w:rPr>
          <w:rFonts w:ascii="Times New Roman" w:hAnsi="Times New Roman" w:cs="Times New Roman"/>
        </w:rPr>
        <w:t>, we find that fi</w:t>
      </w:r>
      <w:r w:rsidRPr="004049A6">
        <w:rPr>
          <w:rFonts w:ascii="Times New Roman" w:hAnsi="Times New Roman" w:cs="Times New Roman"/>
        </w:rPr>
        <w:t>rms that use</w:t>
      </w:r>
      <w:r w:rsidR="0025548A">
        <w:rPr>
          <w:rFonts w:ascii="Times New Roman" w:hAnsi="Times New Roman" w:cs="Times New Roman"/>
        </w:rPr>
        <w:t>d</w:t>
      </w:r>
      <w:r w:rsidRPr="004049A6">
        <w:rPr>
          <w:rFonts w:ascii="Times New Roman" w:hAnsi="Times New Roman" w:cs="Times New Roman"/>
        </w:rPr>
        <w:t xml:space="preserve"> options to pay their CEOs before </w:t>
      </w:r>
      <w:r w:rsidR="00D445F5">
        <w:rPr>
          <w:rFonts w:ascii="Times New Roman" w:hAnsi="Times New Roman" w:cs="Times New Roman"/>
        </w:rPr>
        <w:t>FAS 123R</w:t>
      </w:r>
      <w:r w:rsidRPr="004049A6">
        <w:rPr>
          <w:rFonts w:ascii="Times New Roman" w:hAnsi="Times New Roman" w:cs="Times New Roman"/>
        </w:rPr>
        <w:t xml:space="preserve"> </w:t>
      </w:r>
      <w:r w:rsidR="001D1FC7">
        <w:rPr>
          <w:rFonts w:ascii="Times New Roman" w:hAnsi="Times New Roman" w:cs="Times New Roman"/>
        </w:rPr>
        <w:t xml:space="preserve">dramatically </w:t>
      </w:r>
      <w:r w:rsidR="00675436" w:rsidRPr="004049A6">
        <w:rPr>
          <w:rFonts w:ascii="Times New Roman" w:hAnsi="Times New Roman" w:cs="Times New Roman"/>
        </w:rPr>
        <w:t>increase</w:t>
      </w:r>
      <w:r w:rsidR="001D1FC7">
        <w:rPr>
          <w:rFonts w:ascii="Times New Roman" w:hAnsi="Times New Roman" w:cs="Times New Roman"/>
        </w:rPr>
        <w:t xml:space="preserve"> </w:t>
      </w:r>
      <w:r w:rsidRPr="004049A6">
        <w:rPr>
          <w:rFonts w:ascii="Times New Roman" w:hAnsi="Times New Roman" w:cs="Times New Roman"/>
        </w:rPr>
        <w:t xml:space="preserve">their </w:t>
      </w:r>
      <w:r w:rsidR="0037608D">
        <w:rPr>
          <w:rFonts w:ascii="Times New Roman" w:hAnsi="Times New Roman" w:cs="Times New Roman"/>
        </w:rPr>
        <w:t xml:space="preserve">average </w:t>
      </w:r>
      <w:r w:rsidRPr="004049A6">
        <w:rPr>
          <w:rFonts w:ascii="Times New Roman" w:hAnsi="Times New Roman" w:cs="Times New Roman"/>
        </w:rPr>
        <w:t>hedging intensity</w:t>
      </w:r>
      <w:r w:rsidR="00AA79E2">
        <w:rPr>
          <w:rFonts w:ascii="Times New Roman" w:hAnsi="Times New Roman" w:cs="Times New Roman"/>
        </w:rPr>
        <w:t xml:space="preserve"> </w:t>
      </w:r>
      <w:r w:rsidR="0037608D">
        <w:rPr>
          <w:rFonts w:ascii="Times New Roman" w:hAnsi="Times New Roman" w:cs="Times New Roman"/>
        </w:rPr>
        <w:t>following the change</w:t>
      </w:r>
      <w:r w:rsidR="00D751F0" w:rsidRPr="004049A6">
        <w:rPr>
          <w:rFonts w:ascii="Times New Roman" w:hAnsi="Times New Roman" w:cs="Times New Roman"/>
        </w:rPr>
        <w:t>, compared to similar fi</w:t>
      </w:r>
      <w:r w:rsidRPr="004049A6">
        <w:rPr>
          <w:rFonts w:ascii="Times New Roman" w:hAnsi="Times New Roman" w:cs="Times New Roman"/>
        </w:rPr>
        <w:t xml:space="preserve">rms that </w:t>
      </w:r>
      <w:r w:rsidR="00615D46">
        <w:rPr>
          <w:rFonts w:ascii="Times New Roman" w:hAnsi="Times New Roman" w:cs="Times New Roman"/>
        </w:rPr>
        <w:t xml:space="preserve">(a) </w:t>
      </w:r>
      <w:r w:rsidR="00D5620D">
        <w:rPr>
          <w:rFonts w:ascii="Times New Roman" w:hAnsi="Times New Roman" w:cs="Times New Roman"/>
        </w:rPr>
        <w:t>d</w:t>
      </w:r>
      <w:r w:rsidR="00AA79E2">
        <w:rPr>
          <w:rFonts w:ascii="Times New Roman" w:hAnsi="Times New Roman" w:cs="Times New Roman"/>
        </w:rPr>
        <w:t>id</w:t>
      </w:r>
      <w:r w:rsidR="00D5620D" w:rsidRPr="004049A6">
        <w:rPr>
          <w:rFonts w:ascii="Times New Roman" w:hAnsi="Times New Roman" w:cs="Times New Roman"/>
        </w:rPr>
        <w:t xml:space="preserve"> </w:t>
      </w:r>
      <w:r w:rsidRPr="004049A6">
        <w:rPr>
          <w:rFonts w:ascii="Times New Roman" w:hAnsi="Times New Roman" w:cs="Times New Roman"/>
        </w:rPr>
        <w:t>not use</w:t>
      </w:r>
      <w:r w:rsidR="00D751F0" w:rsidRPr="004049A6">
        <w:rPr>
          <w:rFonts w:ascii="Times New Roman" w:hAnsi="Times New Roman" w:cs="Times New Roman"/>
        </w:rPr>
        <w:t xml:space="preserve"> options to pay their CEOs </w:t>
      </w:r>
      <w:r w:rsidR="00615D46">
        <w:rPr>
          <w:rFonts w:ascii="Times New Roman" w:hAnsi="Times New Roman" w:cs="Times New Roman"/>
        </w:rPr>
        <w:t>or (b)</w:t>
      </w:r>
      <w:r w:rsidRPr="004049A6">
        <w:rPr>
          <w:rFonts w:ascii="Times New Roman" w:hAnsi="Times New Roman" w:cs="Times New Roman"/>
        </w:rPr>
        <w:t xml:space="preserve"> expensed their executive stock options</w:t>
      </w:r>
      <w:r w:rsidR="00D751F0" w:rsidRPr="004049A6">
        <w:rPr>
          <w:rFonts w:ascii="Times New Roman" w:hAnsi="Times New Roman" w:cs="Times New Roman"/>
        </w:rPr>
        <w:t xml:space="preserve"> </w:t>
      </w:r>
      <w:r w:rsidRPr="004049A6">
        <w:rPr>
          <w:rFonts w:ascii="Times New Roman" w:hAnsi="Times New Roman" w:cs="Times New Roman"/>
        </w:rPr>
        <w:t xml:space="preserve">voluntarily prior to </w:t>
      </w:r>
      <w:r w:rsidR="00D445F5">
        <w:rPr>
          <w:rFonts w:ascii="Times New Roman" w:hAnsi="Times New Roman" w:cs="Times New Roman"/>
        </w:rPr>
        <w:t>FAS 123R</w:t>
      </w:r>
      <w:r w:rsidRPr="004049A6">
        <w:rPr>
          <w:rFonts w:ascii="Times New Roman" w:hAnsi="Times New Roman" w:cs="Times New Roman"/>
        </w:rPr>
        <w:t xml:space="preserve">. </w:t>
      </w:r>
      <w:r w:rsidR="00615D46">
        <w:rPr>
          <w:rFonts w:ascii="Times New Roman" w:hAnsi="Times New Roman" w:cs="Times New Roman"/>
        </w:rPr>
        <w:t xml:space="preserve">Our findings provide support for the view </w:t>
      </w:r>
      <w:r w:rsidR="0025548A">
        <w:rPr>
          <w:rFonts w:ascii="Times New Roman" w:hAnsi="Times New Roman" w:cs="Times New Roman"/>
        </w:rPr>
        <w:t>that compensation convexity positively affects managerial risk taking incentives.</w:t>
      </w:r>
    </w:p>
    <w:p w:rsidR="007E53EE" w:rsidRPr="004049A6" w:rsidRDefault="007E53EE" w:rsidP="007E53EE">
      <w:pPr>
        <w:autoSpaceDE w:val="0"/>
        <w:autoSpaceDN w:val="0"/>
        <w:adjustRightInd w:val="0"/>
        <w:spacing w:after="0" w:line="240" w:lineRule="auto"/>
        <w:rPr>
          <w:rFonts w:ascii="Times New Roman" w:hAnsi="Times New Roman" w:cs="Times New Roman"/>
        </w:rPr>
      </w:pPr>
    </w:p>
    <w:p w:rsidR="00D751F0" w:rsidRPr="004049A6" w:rsidRDefault="00D751F0" w:rsidP="007E53EE">
      <w:pPr>
        <w:autoSpaceDE w:val="0"/>
        <w:autoSpaceDN w:val="0"/>
        <w:adjustRightInd w:val="0"/>
        <w:spacing w:after="0" w:line="240" w:lineRule="auto"/>
        <w:rPr>
          <w:rFonts w:ascii="Times New Roman" w:hAnsi="Times New Roman" w:cs="Times New Roman"/>
        </w:rPr>
      </w:pPr>
    </w:p>
    <w:p w:rsidR="0002729F" w:rsidRPr="004049A6" w:rsidRDefault="0002729F" w:rsidP="007E53EE">
      <w:pPr>
        <w:autoSpaceDE w:val="0"/>
        <w:autoSpaceDN w:val="0"/>
        <w:adjustRightInd w:val="0"/>
        <w:spacing w:after="0" w:line="240" w:lineRule="auto"/>
        <w:rPr>
          <w:rFonts w:ascii="Times New Roman" w:hAnsi="Times New Roman" w:cs="Times New Roman"/>
        </w:rPr>
      </w:pPr>
    </w:p>
    <w:p w:rsidR="008C1B5B" w:rsidRPr="008C1B5B" w:rsidRDefault="008C1B5B" w:rsidP="008C1B5B">
      <w:pPr>
        <w:spacing w:after="60"/>
        <w:rPr>
          <w:rFonts w:ascii="Times New Roman" w:eastAsia="Times New Roman" w:hAnsi="Times New Roman" w:cs="Times New Roman"/>
        </w:rPr>
      </w:pPr>
      <w:r w:rsidRPr="008C1B5B">
        <w:rPr>
          <w:rFonts w:ascii="Times New Roman" w:eastAsia="Times New Roman" w:hAnsi="Times New Roman" w:cs="Times New Roman"/>
          <w:i/>
        </w:rPr>
        <w:t>JEL Classification:</w:t>
      </w:r>
      <w:r w:rsidR="00F06CFF">
        <w:rPr>
          <w:rFonts w:ascii="Times New Roman" w:eastAsia="Times New Roman" w:hAnsi="Times New Roman" w:cs="Times New Roman"/>
        </w:rPr>
        <w:t xml:space="preserve"> G30</w:t>
      </w:r>
      <w:r w:rsidRPr="008C1B5B">
        <w:rPr>
          <w:rFonts w:ascii="Times New Roman" w:eastAsia="Times New Roman" w:hAnsi="Times New Roman" w:cs="Times New Roman"/>
        </w:rPr>
        <w:t xml:space="preserve">; G32; </w:t>
      </w:r>
      <w:r w:rsidR="00F06CFF">
        <w:rPr>
          <w:rFonts w:ascii="Times New Roman" w:eastAsia="Times New Roman" w:hAnsi="Times New Roman" w:cs="Times New Roman"/>
        </w:rPr>
        <w:t xml:space="preserve">G38; </w:t>
      </w:r>
      <w:r w:rsidRPr="008C1B5B">
        <w:rPr>
          <w:rFonts w:ascii="Times New Roman" w:eastAsia="Times New Roman" w:hAnsi="Times New Roman" w:cs="Times New Roman"/>
        </w:rPr>
        <w:t>G39</w:t>
      </w:r>
    </w:p>
    <w:p w:rsidR="003F467E" w:rsidRDefault="008C1B5B" w:rsidP="00CC69B3">
      <w:pPr>
        <w:autoSpaceDE w:val="0"/>
        <w:autoSpaceDN w:val="0"/>
        <w:adjustRightInd w:val="0"/>
        <w:spacing w:after="0" w:line="240" w:lineRule="auto"/>
        <w:jc w:val="both"/>
        <w:rPr>
          <w:rFonts w:ascii="Times New Roman" w:eastAsia="Times New Roman" w:hAnsi="Times New Roman" w:cs="Times New Roman"/>
        </w:rPr>
      </w:pPr>
      <w:r w:rsidRPr="008C1B5B">
        <w:rPr>
          <w:rFonts w:ascii="Times New Roman" w:eastAsia="Times New Roman" w:hAnsi="Times New Roman" w:cs="Times New Roman"/>
          <w:i/>
        </w:rPr>
        <w:t>Keywords:</w:t>
      </w:r>
      <w:r w:rsidRPr="008C1B5B">
        <w:rPr>
          <w:rFonts w:ascii="Times New Roman" w:eastAsia="Times New Roman" w:hAnsi="Times New Roman" w:cs="Times New Roman"/>
        </w:rPr>
        <w:t xml:space="preserve"> Corporate risk management, </w:t>
      </w:r>
      <w:r>
        <w:rPr>
          <w:rFonts w:ascii="Times New Roman" w:eastAsia="Times New Roman" w:hAnsi="Times New Roman" w:cs="Times New Roman"/>
        </w:rPr>
        <w:t>FAS 123</w:t>
      </w:r>
      <w:r w:rsidR="00CC69B3">
        <w:rPr>
          <w:rFonts w:ascii="Times New Roman" w:eastAsia="Times New Roman" w:hAnsi="Times New Roman" w:cs="Times New Roman"/>
        </w:rPr>
        <w:t xml:space="preserve">R, oil and gas firms, </w:t>
      </w:r>
      <w:r w:rsidRPr="008C1B5B">
        <w:rPr>
          <w:rFonts w:ascii="Times New Roman" w:eastAsia="Times New Roman" w:hAnsi="Times New Roman" w:cs="Times New Roman"/>
        </w:rPr>
        <w:t>managerial compensation</w:t>
      </w:r>
      <w:r w:rsidR="00CC69B3">
        <w:rPr>
          <w:rFonts w:ascii="Times New Roman" w:eastAsia="Times New Roman" w:hAnsi="Times New Roman" w:cs="Times New Roman"/>
        </w:rPr>
        <w:t>, executive stock option</w:t>
      </w:r>
      <w:r w:rsidR="00B243CE">
        <w:rPr>
          <w:rFonts w:ascii="Times New Roman" w:eastAsia="Times New Roman" w:hAnsi="Times New Roman" w:cs="Times New Roman"/>
        </w:rPr>
        <w:t>s</w:t>
      </w:r>
      <w:r w:rsidR="00CC69B3">
        <w:rPr>
          <w:rFonts w:ascii="Times New Roman" w:eastAsia="Times New Roman" w:hAnsi="Times New Roman" w:cs="Times New Roman"/>
        </w:rPr>
        <w:t>.</w:t>
      </w:r>
    </w:p>
    <w:p w:rsidR="00CC69B3" w:rsidRPr="00CC69B3" w:rsidRDefault="00CC69B3" w:rsidP="00CC69B3">
      <w:pPr>
        <w:autoSpaceDE w:val="0"/>
        <w:autoSpaceDN w:val="0"/>
        <w:adjustRightInd w:val="0"/>
        <w:spacing w:after="0" w:line="240" w:lineRule="auto"/>
        <w:jc w:val="both"/>
        <w:rPr>
          <w:rFonts w:ascii="Times New Roman" w:eastAsia="Times New Roman" w:hAnsi="Times New Roman" w:cs="Times New Roman"/>
        </w:rPr>
        <w:sectPr w:rsidR="00CC69B3" w:rsidRPr="00CC69B3" w:rsidSect="004D5577">
          <w:footerReference w:type="default" r:id="rId12"/>
          <w:footerReference w:type="first" r:id="rId13"/>
          <w:pgSz w:w="12240" w:h="15840"/>
          <w:pgMar w:top="1440" w:right="1440" w:bottom="1440" w:left="1440" w:header="720" w:footer="720" w:gutter="0"/>
          <w:cols w:space="720"/>
          <w:titlePg/>
          <w:docGrid w:linePitch="360"/>
        </w:sectPr>
      </w:pPr>
    </w:p>
    <w:p w:rsidR="003F467E" w:rsidRPr="004049A6" w:rsidRDefault="003F467E" w:rsidP="003F467E">
      <w:pPr>
        <w:autoSpaceDE w:val="0"/>
        <w:autoSpaceDN w:val="0"/>
        <w:adjustRightInd w:val="0"/>
        <w:spacing w:after="0" w:line="240" w:lineRule="auto"/>
        <w:jc w:val="center"/>
        <w:rPr>
          <w:rFonts w:ascii="Times New Roman" w:hAnsi="Times New Roman" w:cs="Times New Roman"/>
          <w:sz w:val="32"/>
          <w:szCs w:val="32"/>
        </w:rPr>
      </w:pPr>
      <w:r w:rsidRPr="004049A6">
        <w:rPr>
          <w:rFonts w:ascii="Times New Roman" w:hAnsi="Times New Roman" w:cs="Times New Roman"/>
          <w:sz w:val="32"/>
          <w:szCs w:val="32"/>
        </w:rPr>
        <w:lastRenderedPageBreak/>
        <w:t>The Causal Effect of Option Pay on Corporate Risk</w:t>
      </w:r>
    </w:p>
    <w:p w:rsidR="003F467E" w:rsidRDefault="003F467E" w:rsidP="003F467E">
      <w:pPr>
        <w:autoSpaceDE w:val="0"/>
        <w:autoSpaceDN w:val="0"/>
        <w:adjustRightInd w:val="0"/>
        <w:spacing w:after="0" w:line="240" w:lineRule="auto"/>
        <w:jc w:val="center"/>
        <w:rPr>
          <w:rFonts w:ascii="Times New Roman" w:hAnsi="Times New Roman" w:cs="Times New Roman"/>
          <w:sz w:val="26"/>
          <w:szCs w:val="26"/>
        </w:rPr>
      </w:pPr>
      <w:r w:rsidRPr="004049A6">
        <w:rPr>
          <w:rFonts w:ascii="Times New Roman" w:hAnsi="Times New Roman" w:cs="Times New Roman"/>
          <w:sz w:val="32"/>
          <w:szCs w:val="32"/>
        </w:rPr>
        <w:t>Management: Evidence from the Oil and Gas Industry</w:t>
      </w:r>
    </w:p>
    <w:p w:rsidR="003F467E" w:rsidRDefault="003F467E" w:rsidP="003F467E">
      <w:pPr>
        <w:autoSpaceDE w:val="0"/>
        <w:autoSpaceDN w:val="0"/>
        <w:adjustRightInd w:val="0"/>
        <w:spacing w:after="0" w:line="240" w:lineRule="auto"/>
        <w:jc w:val="center"/>
        <w:rPr>
          <w:rFonts w:ascii="Times New Roman" w:hAnsi="Times New Roman" w:cs="Times New Roman"/>
          <w:sz w:val="26"/>
          <w:szCs w:val="26"/>
        </w:rPr>
      </w:pPr>
    </w:p>
    <w:p w:rsidR="003F467E" w:rsidRDefault="003F467E" w:rsidP="003F467E">
      <w:pPr>
        <w:autoSpaceDE w:val="0"/>
        <w:autoSpaceDN w:val="0"/>
        <w:adjustRightInd w:val="0"/>
        <w:spacing w:after="0" w:line="240" w:lineRule="auto"/>
        <w:jc w:val="center"/>
        <w:rPr>
          <w:rFonts w:ascii="Times New Roman" w:hAnsi="Times New Roman" w:cs="Times New Roman"/>
          <w:sz w:val="26"/>
          <w:szCs w:val="26"/>
        </w:rPr>
      </w:pPr>
    </w:p>
    <w:p w:rsidR="003F467E" w:rsidRDefault="003F467E" w:rsidP="003F467E">
      <w:pPr>
        <w:autoSpaceDE w:val="0"/>
        <w:autoSpaceDN w:val="0"/>
        <w:adjustRightInd w:val="0"/>
        <w:spacing w:after="0" w:line="240" w:lineRule="auto"/>
        <w:jc w:val="center"/>
        <w:rPr>
          <w:rFonts w:ascii="Times New Roman" w:hAnsi="Times New Roman" w:cs="Times New Roman"/>
          <w:sz w:val="26"/>
          <w:szCs w:val="26"/>
        </w:rPr>
      </w:pPr>
    </w:p>
    <w:p w:rsidR="003F467E" w:rsidRPr="004049A6" w:rsidRDefault="003F467E" w:rsidP="003F467E">
      <w:pPr>
        <w:autoSpaceDE w:val="0"/>
        <w:autoSpaceDN w:val="0"/>
        <w:adjustRightInd w:val="0"/>
        <w:spacing w:after="0" w:line="240" w:lineRule="auto"/>
        <w:jc w:val="center"/>
        <w:rPr>
          <w:rFonts w:ascii="Times New Roman" w:hAnsi="Times New Roman" w:cs="Times New Roman"/>
          <w:sz w:val="26"/>
          <w:szCs w:val="26"/>
        </w:rPr>
      </w:pPr>
      <w:r w:rsidRPr="004049A6">
        <w:rPr>
          <w:rFonts w:ascii="Times New Roman" w:hAnsi="Times New Roman" w:cs="Times New Roman"/>
          <w:sz w:val="26"/>
          <w:szCs w:val="26"/>
        </w:rPr>
        <w:t>Abstract</w:t>
      </w:r>
    </w:p>
    <w:p w:rsidR="003F467E" w:rsidRPr="004049A6" w:rsidRDefault="003F467E" w:rsidP="003F467E">
      <w:pPr>
        <w:autoSpaceDE w:val="0"/>
        <w:autoSpaceDN w:val="0"/>
        <w:adjustRightInd w:val="0"/>
        <w:spacing w:after="0" w:line="240" w:lineRule="auto"/>
        <w:jc w:val="center"/>
        <w:rPr>
          <w:rFonts w:ascii="Times New Roman" w:hAnsi="Times New Roman" w:cs="Times New Roman"/>
        </w:rPr>
      </w:pPr>
    </w:p>
    <w:p w:rsidR="003F467E" w:rsidRPr="004049A6" w:rsidRDefault="003F467E" w:rsidP="003F467E">
      <w:pPr>
        <w:autoSpaceDE w:val="0"/>
        <w:autoSpaceDN w:val="0"/>
        <w:adjustRightInd w:val="0"/>
        <w:spacing w:after="0" w:line="240" w:lineRule="auto"/>
        <w:jc w:val="center"/>
        <w:rPr>
          <w:rFonts w:ascii="Times New Roman" w:hAnsi="Times New Roman" w:cs="Times New Roman"/>
        </w:rPr>
      </w:pPr>
    </w:p>
    <w:p w:rsidR="003F467E" w:rsidRPr="004049A6" w:rsidRDefault="0037608D" w:rsidP="003F467E">
      <w:pPr>
        <w:tabs>
          <w:tab w:val="left" w:pos="9360"/>
        </w:tabs>
        <w:autoSpaceDE w:val="0"/>
        <w:autoSpaceDN w:val="0"/>
        <w:adjustRightInd w:val="0"/>
        <w:spacing w:after="0" w:line="240" w:lineRule="auto"/>
        <w:jc w:val="both"/>
        <w:rPr>
          <w:rFonts w:ascii="Times New Roman" w:hAnsi="Times New Roman" w:cs="Times New Roman"/>
        </w:rPr>
      </w:pPr>
      <w:r w:rsidRPr="004049A6">
        <w:rPr>
          <w:rFonts w:ascii="Times New Roman" w:hAnsi="Times New Roman" w:cs="Times New Roman"/>
        </w:rPr>
        <w:t xml:space="preserve">We </w:t>
      </w:r>
      <w:r>
        <w:rPr>
          <w:rFonts w:ascii="Times New Roman" w:hAnsi="Times New Roman" w:cs="Times New Roman"/>
        </w:rPr>
        <w:t xml:space="preserve">revisit the contentious relation between option compensation and managerial risk-taking by </w:t>
      </w:r>
      <w:r w:rsidRPr="004049A6">
        <w:rPr>
          <w:rFonts w:ascii="Times New Roman" w:hAnsi="Times New Roman" w:cs="Times New Roman"/>
        </w:rPr>
        <w:t>study</w:t>
      </w:r>
      <w:r>
        <w:rPr>
          <w:rFonts w:ascii="Times New Roman" w:hAnsi="Times New Roman" w:cs="Times New Roman"/>
        </w:rPr>
        <w:t xml:space="preserve">ing how changes triggered by the elimination of favorable accounting treatment for executive stock option grants (FAS 123R) affected </w:t>
      </w:r>
      <w:r w:rsidR="001B5204" w:rsidRPr="001B5204">
        <w:rPr>
          <w:rFonts w:ascii="Times New Roman" w:hAnsi="Times New Roman" w:cs="Times New Roman"/>
        </w:rPr>
        <w:t>hedging behavior in the oil and gas industry</w:t>
      </w:r>
      <w:r w:rsidRPr="004049A6">
        <w:rPr>
          <w:rFonts w:ascii="Times New Roman" w:hAnsi="Times New Roman" w:cs="Times New Roman"/>
        </w:rPr>
        <w:t xml:space="preserve">. </w:t>
      </w:r>
      <w:r>
        <w:rPr>
          <w:rFonts w:ascii="Times New Roman" w:hAnsi="Times New Roman" w:cs="Times New Roman"/>
        </w:rPr>
        <w:t xml:space="preserve">We </w:t>
      </w:r>
      <w:r w:rsidRPr="004049A6">
        <w:rPr>
          <w:rFonts w:ascii="Times New Roman" w:hAnsi="Times New Roman" w:cs="Times New Roman"/>
        </w:rPr>
        <w:t>hypothesize that a decrease in sensitivity of CEO wealth to stock return volatility (</w:t>
      </w:r>
      <w:proofErr w:type="spellStart"/>
      <w:proofErr w:type="gramStart"/>
      <w:r w:rsidRPr="004049A6">
        <w:rPr>
          <w:rFonts w:ascii="Times New Roman" w:hAnsi="Times New Roman" w:cs="Times New Roman"/>
        </w:rPr>
        <w:t>vega</w:t>
      </w:r>
      <w:proofErr w:type="spellEnd"/>
      <w:proofErr w:type="gramEnd"/>
      <w:r w:rsidRPr="004049A6">
        <w:rPr>
          <w:rFonts w:ascii="Times New Roman" w:hAnsi="Times New Roman" w:cs="Times New Roman"/>
        </w:rPr>
        <w:t>) decreases CEO risk-taking incentives</w:t>
      </w:r>
      <w:r>
        <w:rPr>
          <w:rFonts w:ascii="Times New Roman" w:hAnsi="Times New Roman" w:cs="Times New Roman"/>
        </w:rPr>
        <w:t>, causing affected firms to hedge more</w:t>
      </w:r>
      <w:r w:rsidRPr="004049A6">
        <w:rPr>
          <w:rFonts w:ascii="Times New Roman" w:hAnsi="Times New Roman" w:cs="Times New Roman"/>
        </w:rPr>
        <w:t xml:space="preserve">. We use </w:t>
      </w:r>
      <w:r>
        <w:rPr>
          <w:rFonts w:ascii="Times New Roman" w:hAnsi="Times New Roman" w:cs="Times New Roman"/>
        </w:rPr>
        <w:t>the FAS 123R</w:t>
      </w:r>
      <w:r w:rsidRPr="004049A6">
        <w:rPr>
          <w:rFonts w:ascii="Times New Roman" w:hAnsi="Times New Roman" w:cs="Times New Roman"/>
        </w:rPr>
        <w:t xml:space="preserve"> </w:t>
      </w:r>
      <w:r>
        <w:rPr>
          <w:rFonts w:ascii="Times New Roman" w:hAnsi="Times New Roman" w:cs="Times New Roman"/>
        </w:rPr>
        <w:t xml:space="preserve">compliance requirement </w:t>
      </w:r>
      <w:r w:rsidRPr="004049A6">
        <w:rPr>
          <w:rFonts w:ascii="Times New Roman" w:hAnsi="Times New Roman" w:cs="Times New Roman"/>
        </w:rPr>
        <w:t xml:space="preserve">to identify changes in CEO compensation </w:t>
      </w:r>
      <w:proofErr w:type="spellStart"/>
      <w:proofErr w:type="gramStart"/>
      <w:r w:rsidRPr="004049A6">
        <w:rPr>
          <w:rFonts w:ascii="Times New Roman" w:hAnsi="Times New Roman" w:cs="Times New Roman"/>
        </w:rPr>
        <w:t>vega</w:t>
      </w:r>
      <w:proofErr w:type="spellEnd"/>
      <w:proofErr w:type="gramEnd"/>
      <w:r w:rsidRPr="004049A6">
        <w:rPr>
          <w:rFonts w:ascii="Times New Roman" w:hAnsi="Times New Roman" w:cs="Times New Roman"/>
        </w:rPr>
        <w:t xml:space="preserve"> that are exogenous to corporate hedging policy. Using a difference</w:t>
      </w:r>
      <w:r w:rsidR="00E95233">
        <w:rPr>
          <w:rFonts w:ascii="Times New Roman" w:hAnsi="Times New Roman" w:cs="Times New Roman"/>
        </w:rPr>
        <w:t>s</w:t>
      </w:r>
      <w:r w:rsidRPr="004049A6">
        <w:rPr>
          <w:rFonts w:ascii="Times New Roman" w:hAnsi="Times New Roman" w:cs="Times New Roman"/>
        </w:rPr>
        <w:t xml:space="preserve">-in-differences approach </w:t>
      </w:r>
      <w:r>
        <w:rPr>
          <w:rFonts w:ascii="Times New Roman" w:hAnsi="Times New Roman" w:cs="Times New Roman"/>
        </w:rPr>
        <w:t xml:space="preserve">that we apply to </w:t>
      </w:r>
      <w:r w:rsidRPr="004049A6">
        <w:rPr>
          <w:rFonts w:ascii="Times New Roman" w:hAnsi="Times New Roman" w:cs="Times New Roman"/>
        </w:rPr>
        <w:t xml:space="preserve">a hand-collected dataset </w:t>
      </w:r>
      <w:r>
        <w:rPr>
          <w:rFonts w:ascii="Times New Roman" w:hAnsi="Times New Roman" w:cs="Times New Roman"/>
        </w:rPr>
        <w:t xml:space="preserve">of oil and gas firms </w:t>
      </w:r>
      <w:r w:rsidRPr="004049A6">
        <w:rPr>
          <w:rFonts w:ascii="Times New Roman" w:hAnsi="Times New Roman" w:cs="Times New Roman"/>
        </w:rPr>
        <w:t xml:space="preserve">with detailed </w:t>
      </w:r>
      <w:r>
        <w:rPr>
          <w:rFonts w:ascii="Times New Roman" w:hAnsi="Times New Roman" w:cs="Times New Roman"/>
        </w:rPr>
        <w:t xml:space="preserve">hedging </w:t>
      </w:r>
      <w:r w:rsidRPr="004049A6">
        <w:rPr>
          <w:rFonts w:ascii="Times New Roman" w:hAnsi="Times New Roman" w:cs="Times New Roman"/>
        </w:rPr>
        <w:t xml:space="preserve">data, </w:t>
      </w:r>
      <w:r w:rsidR="001D1FC7" w:rsidRPr="004049A6">
        <w:rPr>
          <w:rFonts w:ascii="Times New Roman" w:hAnsi="Times New Roman" w:cs="Times New Roman"/>
        </w:rPr>
        <w:t>we find that firms that use</w:t>
      </w:r>
      <w:r w:rsidR="001D1FC7">
        <w:rPr>
          <w:rFonts w:ascii="Times New Roman" w:hAnsi="Times New Roman" w:cs="Times New Roman"/>
        </w:rPr>
        <w:t>d</w:t>
      </w:r>
      <w:r w:rsidR="001D1FC7" w:rsidRPr="004049A6">
        <w:rPr>
          <w:rFonts w:ascii="Times New Roman" w:hAnsi="Times New Roman" w:cs="Times New Roman"/>
        </w:rPr>
        <w:t xml:space="preserve"> options to pay their CEOs before </w:t>
      </w:r>
      <w:r w:rsidR="001D1FC7">
        <w:rPr>
          <w:rFonts w:ascii="Times New Roman" w:hAnsi="Times New Roman" w:cs="Times New Roman"/>
        </w:rPr>
        <w:t>FAS 123R</w:t>
      </w:r>
      <w:r w:rsidR="001D1FC7" w:rsidRPr="004049A6">
        <w:rPr>
          <w:rFonts w:ascii="Times New Roman" w:hAnsi="Times New Roman" w:cs="Times New Roman"/>
        </w:rPr>
        <w:t xml:space="preserve"> </w:t>
      </w:r>
      <w:r w:rsidR="001D1FC7">
        <w:rPr>
          <w:rFonts w:ascii="Times New Roman" w:hAnsi="Times New Roman" w:cs="Times New Roman"/>
        </w:rPr>
        <w:t xml:space="preserve">dramatically </w:t>
      </w:r>
      <w:r w:rsidR="001D1FC7" w:rsidRPr="004049A6">
        <w:rPr>
          <w:rFonts w:ascii="Times New Roman" w:hAnsi="Times New Roman" w:cs="Times New Roman"/>
        </w:rPr>
        <w:t>increase</w:t>
      </w:r>
      <w:r w:rsidR="001D1FC7">
        <w:rPr>
          <w:rFonts w:ascii="Times New Roman" w:hAnsi="Times New Roman" w:cs="Times New Roman"/>
        </w:rPr>
        <w:t xml:space="preserve"> </w:t>
      </w:r>
      <w:r w:rsidR="001D1FC7" w:rsidRPr="004049A6">
        <w:rPr>
          <w:rFonts w:ascii="Times New Roman" w:hAnsi="Times New Roman" w:cs="Times New Roman"/>
        </w:rPr>
        <w:t xml:space="preserve">their </w:t>
      </w:r>
      <w:r w:rsidR="001D1FC7">
        <w:rPr>
          <w:rFonts w:ascii="Times New Roman" w:hAnsi="Times New Roman" w:cs="Times New Roman"/>
        </w:rPr>
        <w:t xml:space="preserve">average </w:t>
      </w:r>
      <w:r w:rsidR="001D1FC7" w:rsidRPr="004049A6">
        <w:rPr>
          <w:rFonts w:ascii="Times New Roman" w:hAnsi="Times New Roman" w:cs="Times New Roman"/>
        </w:rPr>
        <w:t>hedging intensity</w:t>
      </w:r>
      <w:r w:rsidR="001D1FC7">
        <w:rPr>
          <w:rFonts w:ascii="Times New Roman" w:hAnsi="Times New Roman" w:cs="Times New Roman"/>
        </w:rPr>
        <w:t xml:space="preserve"> following the change</w:t>
      </w:r>
      <w:r w:rsidR="001D1FC7" w:rsidRPr="004049A6">
        <w:rPr>
          <w:rFonts w:ascii="Times New Roman" w:hAnsi="Times New Roman" w:cs="Times New Roman"/>
        </w:rPr>
        <w:t xml:space="preserve">, compared to similar firms that </w:t>
      </w:r>
      <w:r>
        <w:rPr>
          <w:rFonts w:ascii="Times New Roman" w:hAnsi="Times New Roman" w:cs="Times New Roman"/>
        </w:rPr>
        <w:t>(a) did</w:t>
      </w:r>
      <w:r w:rsidRPr="004049A6">
        <w:rPr>
          <w:rFonts w:ascii="Times New Roman" w:hAnsi="Times New Roman" w:cs="Times New Roman"/>
        </w:rPr>
        <w:t xml:space="preserve"> not use options to pay their CEOs </w:t>
      </w:r>
      <w:r>
        <w:rPr>
          <w:rFonts w:ascii="Times New Roman" w:hAnsi="Times New Roman" w:cs="Times New Roman"/>
        </w:rPr>
        <w:t>or (b)</w:t>
      </w:r>
      <w:r w:rsidRPr="004049A6">
        <w:rPr>
          <w:rFonts w:ascii="Times New Roman" w:hAnsi="Times New Roman" w:cs="Times New Roman"/>
        </w:rPr>
        <w:t xml:space="preserve"> expensed their executive stock options voluntarily prior to </w:t>
      </w:r>
      <w:r>
        <w:rPr>
          <w:rFonts w:ascii="Times New Roman" w:hAnsi="Times New Roman" w:cs="Times New Roman"/>
        </w:rPr>
        <w:t>FAS 123R</w:t>
      </w:r>
      <w:r w:rsidRPr="004049A6">
        <w:rPr>
          <w:rFonts w:ascii="Times New Roman" w:hAnsi="Times New Roman" w:cs="Times New Roman"/>
        </w:rPr>
        <w:t xml:space="preserve">. </w:t>
      </w:r>
      <w:r>
        <w:rPr>
          <w:rFonts w:ascii="Times New Roman" w:hAnsi="Times New Roman" w:cs="Times New Roman"/>
        </w:rPr>
        <w:t>Our findings provide support for the view that compensation convexity positively affects managerial risk taking incentives.</w:t>
      </w:r>
    </w:p>
    <w:p w:rsidR="003F467E" w:rsidRPr="004049A6" w:rsidRDefault="003F467E" w:rsidP="003F467E">
      <w:pPr>
        <w:autoSpaceDE w:val="0"/>
        <w:autoSpaceDN w:val="0"/>
        <w:adjustRightInd w:val="0"/>
        <w:spacing w:after="0" w:line="240" w:lineRule="auto"/>
        <w:rPr>
          <w:rFonts w:ascii="Times New Roman" w:hAnsi="Times New Roman" w:cs="Times New Roman"/>
        </w:rPr>
      </w:pPr>
    </w:p>
    <w:p w:rsidR="00F06CFF" w:rsidRDefault="00F06CFF" w:rsidP="00F06CFF">
      <w:pPr>
        <w:spacing w:after="60"/>
        <w:rPr>
          <w:rFonts w:ascii="Times New Roman" w:eastAsia="Times New Roman" w:hAnsi="Times New Roman" w:cs="Times New Roman"/>
          <w:i/>
        </w:rPr>
      </w:pPr>
    </w:p>
    <w:p w:rsidR="00F06CFF" w:rsidRPr="008C1B5B" w:rsidRDefault="00F06CFF" w:rsidP="00F06CFF">
      <w:pPr>
        <w:spacing w:after="60"/>
        <w:rPr>
          <w:rFonts w:ascii="Times New Roman" w:eastAsia="Times New Roman" w:hAnsi="Times New Roman" w:cs="Times New Roman"/>
        </w:rPr>
      </w:pPr>
      <w:r w:rsidRPr="008C1B5B">
        <w:rPr>
          <w:rFonts w:ascii="Times New Roman" w:eastAsia="Times New Roman" w:hAnsi="Times New Roman" w:cs="Times New Roman"/>
          <w:i/>
        </w:rPr>
        <w:t>JEL Classification:</w:t>
      </w:r>
      <w:r>
        <w:rPr>
          <w:rFonts w:ascii="Times New Roman" w:eastAsia="Times New Roman" w:hAnsi="Times New Roman" w:cs="Times New Roman"/>
        </w:rPr>
        <w:t xml:space="preserve"> G30</w:t>
      </w:r>
      <w:r w:rsidRPr="008C1B5B">
        <w:rPr>
          <w:rFonts w:ascii="Times New Roman" w:eastAsia="Times New Roman" w:hAnsi="Times New Roman" w:cs="Times New Roman"/>
        </w:rPr>
        <w:t xml:space="preserve">; G32; </w:t>
      </w:r>
      <w:r>
        <w:rPr>
          <w:rFonts w:ascii="Times New Roman" w:eastAsia="Times New Roman" w:hAnsi="Times New Roman" w:cs="Times New Roman"/>
        </w:rPr>
        <w:t xml:space="preserve">G38; </w:t>
      </w:r>
      <w:r w:rsidRPr="008C1B5B">
        <w:rPr>
          <w:rFonts w:ascii="Times New Roman" w:eastAsia="Times New Roman" w:hAnsi="Times New Roman" w:cs="Times New Roman"/>
        </w:rPr>
        <w:t>G39</w:t>
      </w:r>
    </w:p>
    <w:p w:rsidR="00F06CFF" w:rsidRDefault="00F06CFF" w:rsidP="00F06CFF">
      <w:pPr>
        <w:autoSpaceDE w:val="0"/>
        <w:autoSpaceDN w:val="0"/>
        <w:adjustRightInd w:val="0"/>
        <w:spacing w:after="0" w:line="240" w:lineRule="auto"/>
        <w:jc w:val="both"/>
        <w:rPr>
          <w:rFonts w:ascii="Times New Roman" w:eastAsia="Times New Roman" w:hAnsi="Times New Roman" w:cs="Times New Roman"/>
        </w:rPr>
      </w:pPr>
      <w:r w:rsidRPr="008C1B5B">
        <w:rPr>
          <w:rFonts w:ascii="Times New Roman" w:eastAsia="Times New Roman" w:hAnsi="Times New Roman" w:cs="Times New Roman"/>
          <w:i/>
        </w:rPr>
        <w:t>Keywords:</w:t>
      </w:r>
      <w:r w:rsidRPr="008C1B5B">
        <w:rPr>
          <w:rFonts w:ascii="Times New Roman" w:eastAsia="Times New Roman" w:hAnsi="Times New Roman" w:cs="Times New Roman"/>
        </w:rPr>
        <w:t xml:space="preserve"> Corporate risk management, </w:t>
      </w:r>
      <w:r>
        <w:rPr>
          <w:rFonts w:ascii="Times New Roman" w:eastAsia="Times New Roman" w:hAnsi="Times New Roman" w:cs="Times New Roman"/>
        </w:rPr>
        <w:t xml:space="preserve">FAS 123R, oil and gas firms, </w:t>
      </w:r>
      <w:r w:rsidRPr="008C1B5B">
        <w:rPr>
          <w:rFonts w:ascii="Times New Roman" w:eastAsia="Times New Roman" w:hAnsi="Times New Roman" w:cs="Times New Roman"/>
        </w:rPr>
        <w:t>managerial compensation</w:t>
      </w:r>
      <w:r>
        <w:rPr>
          <w:rFonts w:ascii="Times New Roman" w:eastAsia="Times New Roman" w:hAnsi="Times New Roman" w:cs="Times New Roman"/>
        </w:rPr>
        <w:t>, executive stock option</w:t>
      </w:r>
      <w:r w:rsidR="00B243CE">
        <w:rPr>
          <w:rFonts w:ascii="Times New Roman" w:eastAsia="Times New Roman" w:hAnsi="Times New Roman" w:cs="Times New Roman"/>
        </w:rPr>
        <w:t>s</w:t>
      </w:r>
      <w:r>
        <w:rPr>
          <w:rFonts w:ascii="Times New Roman" w:eastAsia="Times New Roman" w:hAnsi="Times New Roman" w:cs="Times New Roman"/>
        </w:rPr>
        <w:t>.</w:t>
      </w:r>
    </w:p>
    <w:p w:rsidR="003F467E" w:rsidRPr="004049A6" w:rsidRDefault="003F467E" w:rsidP="003F467E">
      <w:pPr>
        <w:autoSpaceDE w:val="0"/>
        <w:autoSpaceDN w:val="0"/>
        <w:adjustRightInd w:val="0"/>
        <w:spacing w:after="0" w:line="240" w:lineRule="auto"/>
        <w:rPr>
          <w:rFonts w:ascii="Times New Roman" w:hAnsi="Times New Roman" w:cs="Times New Roman"/>
        </w:rPr>
      </w:pPr>
    </w:p>
    <w:p w:rsidR="003F467E" w:rsidRPr="004049A6" w:rsidRDefault="003F467E" w:rsidP="003F467E">
      <w:pPr>
        <w:autoSpaceDE w:val="0"/>
        <w:autoSpaceDN w:val="0"/>
        <w:adjustRightInd w:val="0"/>
        <w:spacing w:after="0" w:line="240" w:lineRule="auto"/>
        <w:rPr>
          <w:rFonts w:ascii="Times New Roman" w:hAnsi="Times New Roman" w:cs="Times New Roman"/>
        </w:rPr>
      </w:pPr>
    </w:p>
    <w:p w:rsidR="00F06CFF" w:rsidRDefault="00F06CFF" w:rsidP="003F467E">
      <w:pPr>
        <w:autoSpaceDE w:val="0"/>
        <w:autoSpaceDN w:val="0"/>
        <w:adjustRightInd w:val="0"/>
        <w:spacing w:after="0" w:line="240" w:lineRule="auto"/>
        <w:jc w:val="center"/>
        <w:rPr>
          <w:rFonts w:ascii="Times New Roman" w:hAnsi="Times New Roman" w:cs="Times New Roman"/>
          <w:sz w:val="32"/>
          <w:szCs w:val="32"/>
        </w:rPr>
        <w:sectPr w:rsidR="00F06CFF">
          <w:pgSz w:w="12240" w:h="15840"/>
          <w:pgMar w:top="1440" w:right="1440" w:bottom="1440" w:left="1440" w:header="720" w:footer="720" w:gutter="0"/>
          <w:cols w:space="720"/>
          <w:docGrid w:linePitch="360"/>
        </w:sectPr>
      </w:pPr>
    </w:p>
    <w:p w:rsidR="007E53EE" w:rsidRPr="00CC69B3" w:rsidRDefault="003131C5" w:rsidP="00CC69B3">
      <w:pPr>
        <w:pStyle w:val="ListParagraph"/>
        <w:numPr>
          <w:ilvl w:val="0"/>
          <w:numId w:val="3"/>
        </w:numPr>
        <w:autoSpaceDE w:val="0"/>
        <w:autoSpaceDN w:val="0"/>
        <w:adjustRightInd w:val="0"/>
        <w:spacing w:after="0" w:line="480" w:lineRule="auto"/>
        <w:ind w:left="0" w:firstLine="0"/>
        <w:rPr>
          <w:rFonts w:ascii="Times New Roman" w:hAnsi="Times New Roman" w:cs="Times New Roman"/>
          <w:b/>
          <w:sz w:val="24"/>
          <w:szCs w:val="24"/>
        </w:rPr>
      </w:pPr>
      <w:r w:rsidRPr="00CC69B3">
        <w:rPr>
          <w:rFonts w:ascii="Times New Roman" w:hAnsi="Times New Roman" w:cs="Times New Roman"/>
          <w:b/>
          <w:sz w:val="24"/>
          <w:szCs w:val="24"/>
        </w:rPr>
        <w:lastRenderedPageBreak/>
        <w:t>Introduction</w:t>
      </w:r>
    </w:p>
    <w:p w:rsidR="00AB22E7" w:rsidRPr="001E69D3" w:rsidRDefault="00E36757" w:rsidP="004779E2">
      <w:pPr>
        <w:autoSpaceDE w:val="0"/>
        <w:autoSpaceDN w:val="0"/>
        <w:adjustRightInd w:val="0"/>
        <w:spacing w:after="0" w:line="480" w:lineRule="auto"/>
        <w:ind w:firstLine="720"/>
        <w:jc w:val="both"/>
        <w:rPr>
          <w:rFonts w:ascii="Times New Roman" w:hAnsi="Times New Roman" w:cs="Times New Roman"/>
        </w:rPr>
      </w:pPr>
      <w:r w:rsidRPr="001E69D3">
        <w:rPr>
          <w:rFonts w:ascii="Times New Roman" w:hAnsi="Times New Roman" w:cs="Times New Roman"/>
        </w:rPr>
        <w:t xml:space="preserve">The notion that an increase in the convexity of the wealth-to-performance relation helps overcome managerial risk aversion and mitigate </w:t>
      </w:r>
      <w:r w:rsidR="00897D02" w:rsidRPr="001E69D3">
        <w:rPr>
          <w:rFonts w:ascii="Times New Roman" w:hAnsi="Times New Roman" w:cs="Times New Roman"/>
        </w:rPr>
        <w:t xml:space="preserve">underinvestment forms the </w:t>
      </w:r>
      <w:r w:rsidR="003A3C8A" w:rsidRPr="001E69D3">
        <w:rPr>
          <w:rFonts w:ascii="Times New Roman" w:hAnsi="Times New Roman" w:cs="Times New Roman"/>
        </w:rPr>
        <w:t xml:space="preserve">fundamental </w:t>
      </w:r>
      <w:r w:rsidRPr="001E69D3">
        <w:rPr>
          <w:rFonts w:ascii="Times New Roman" w:hAnsi="Times New Roman" w:cs="Times New Roman"/>
        </w:rPr>
        <w:t>premise underlying the inclusion of stock options in managerial compensation. However, d</w:t>
      </w:r>
      <w:r w:rsidR="006D6FB4" w:rsidRPr="001E69D3">
        <w:rPr>
          <w:rFonts w:ascii="Times New Roman" w:hAnsi="Times New Roman" w:cs="Times New Roman"/>
        </w:rPr>
        <w:t xml:space="preserve">espite a considerable literature, </w:t>
      </w:r>
      <w:r w:rsidR="00B10A81" w:rsidRPr="001E69D3">
        <w:rPr>
          <w:rFonts w:ascii="Times New Roman" w:hAnsi="Times New Roman" w:cs="Times New Roman"/>
        </w:rPr>
        <w:t xml:space="preserve">the basic question of </w:t>
      </w:r>
      <w:r w:rsidR="006D6FB4" w:rsidRPr="001E69D3">
        <w:rPr>
          <w:rFonts w:ascii="Times New Roman" w:hAnsi="Times New Roman" w:cs="Times New Roman"/>
        </w:rPr>
        <w:t xml:space="preserve">whether stock option compensation alters managerial attitudes toward risk-taking remains </w:t>
      </w:r>
      <w:r w:rsidRPr="001E69D3">
        <w:rPr>
          <w:rFonts w:ascii="Times New Roman" w:hAnsi="Times New Roman" w:cs="Times New Roman"/>
        </w:rPr>
        <w:t>unresolved.</w:t>
      </w:r>
      <w:r w:rsidR="00B10A81" w:rsidRPr="001E69D3">
        <w:rPr>
          <w:rFonts w:ascii="Times New Roman" w:hAnsi="Times New Roman" w:cs="Times New Roman"/>
        </w:rPr>
        <w:t xml:space="preserve"> We re-</w:t>
      </w:r>
      <w:r w:rsidR="00897D02" w:rsidRPr="001E69D3">
        <w:rPr>
          <w:rFonts w:ascii="Times New Roman" w:hAnsi="Times New Roman" w:cs="Times New Roman"/>
        </w:rPr>
        <w:t>examine this issue utiliz</w:t>
      </w:r>
      <w:r w:rsidR="00B10A81" w:rsidRPr="001E69D3">
        <w:rPr>
          <w:rFonts w:ascii="Times New Roman" w:hAnsi="Times New Roman" w:cs="Times New Roman"/>
        </w:rPr>
        <w:t xml:space="preserve">ing </w:t>
      </w:r>
      <w:r w:rsidR="00704880" w:rsidRPr="001E69D3">
        <w:rPr>
          <w:rFonts w:ascii="Times New Roman" w:hAnsi="Times New Roman" w:cs="Times New Roman"/>
        </w:rPr>
        <w:t>the natural experiment</w:t>
      </w:r>
      <w:r w:rsidR="00B10A81" w:rsidRPr="001E69D3">
        <w:rPr>
          <w:rFonts w:ascii="Times New Roman" w:hAnsi="Times New Roman" w:cs="Times New Roman"/>
        </w:rPr>
        <w:t xml:space="preserve"> created by the </w:t>
      </w:r>
      <w:r w:rsidR="001E69D3">
        <w:rPr>
          <w:rFonts w:ascii="Times New Roman" w:hAnsi="Times New Roman" w:cs="Times New Roman"/>
        </w:rPr>
        <w:t xml:space="preserve">2005 </w:t>
      </w:r>
      <w:r w:rsidR="00B10A81" w:rsidRPr="001E69D3">
        <w:rPr>
          <w:rFonts w:ascii="Times New Roman" w:hAnsi="Times New Roman" w:cs="Times New Roman"/>
        </w:rPr>
        <w:t>U.S. Securities Exchange Commission (SEC) mandate</w:t>
      </w:r>
      <w:r w:rsidR="00704880" w:rsidRPr="001E69D3">
        <w:rPr>
          <w:rFonts w:ascii="Times New Roman" w:hAnsi="Times New Roman" w:cs="Times New Roman"/>
        </w:rPr>
        <w:t xml:space="preserve"> </w:t>
      </w:r>
      <w:r w:rsidR="00B10A81" w:rsidRPr="001E69D3">
        <w:rPr>
          <w:rFonts w:ascii="Times New Roman" w:hAnsi="Times New Roman" w:cs="Times New Roman"/>
        </w:rPr>
        <w:t xml:space="preserve">that </w:t>
      </w:r>
      <w:r w:rsidR="00897D02" w:rsidRPr="001E69D3">
        <w:rPr>
          <w:rFonts w:ascii="Times New Roman" w:hAnsi="Times New Roman" w:cs="Times New Roman"/>
        </w:rPr>
        <w:t>firms comply with FAS 123R – which fundamentally altered the expensing of stock option awards</w:t>
      </w:r>
      <w:r w:rsidR="00704880" w:rsidRPr="001E69D3">
        <w:rPr>
          <w:rFonts w:ascii="Times New Roman" w:hAnsi="Times New Roman" w:cs="Times New Roman"/>
        </w:rPr>
        <w:t xml:space="preserve"> and induced significant cutback in options grants.</w:t>
      </w:r>
      <w:r w:rsidRPr="001E69D3">
        <w:rPr>
          <w:rFonts w:ascii="Times New Roman" w:hAnsi="Times New Roman" w:cs="Times New Roman"/>
        </w:rPr>
        <w:t xml:space="preserve"> </w:t>
      </w:r>
      <w:r w:rsidR="00865C38" w:rsidRPr="001E69D3">
        <w:rPr>
          <w:rFonts w:ascii="Times New Roman" w:hAnsi="Times New Roman" w:cs="Times New Roman"/>
        </w:rPr>
        <w:t xml:space="preserve">To our knowledge, ours is </w:t>
      </w:r>
      <w:r w:rsidR="00704880" w:rsidRPr="001E69D3">
        <w:rPr>
          <w:rFonts w:ascii="Times New Roman" w:hAnsi="Times New Roman" w:cs="Times New Roman"/>
        </w:rPr>
        <w:t>the first study</w:t>
      </w:r>
      <w:r w:rsidR="00865C38" w:rsidRPr="001E69D3">
        <w:rPr>
          <w:rFonts w:ascii="Times New Roman" w:hAnsi="Times New Roman" w:cs="Times New Roman"/>
        </w:rPr>
        <w:t xml:space="preserve"> to use an exogenous change in expensing executive stock option grants to provide empirical evidence of a causal relation between stock option compensation and corporate risk management.</w:t>
      </w:r>
    </w:p>
    <w:p w:rsidR="00704880" w:rsidRPr="001E69D3" w:rsidRDefault="00704880" w:rsidP="00704880">
      <w:pPr>
        <w:autoSpaceDE w:val="0"/>
        <w:autoSpaceDN w:val="0"/>
        <w:adjustRightInd w:val="0"/>
        <w:spacing w:after="0" w:line="480" w:lineRule="auto"/>
        <w:jc w:val="both"/>
        <w:rPr>
          <w:rFonts w:ascii="Times New Roman" w:hAnsi="Times New Roman" w:cs="Times New Roman"/>
        </w:rPr>
      </w:pPr>
      <w:r w:rsidRPr="001E69D3">
        <w:rPr>
          <w:rFonts w:ascii="Times New Roman" w:hAnsi="Times New Roman" w:cs="Times New Roman"/>
        </w:rPr>
        <w:tab/>
        <w:t>In this paper we study the effects of the exogenous change in CEO wealth sensitivity to stock return volatility (</w:t>
      </w:r>
      <w:proofErr w:type="spellStart"/>
      <w:proofErr w:type="gramStart"/>
      <w:r w:rsidRPr="001E69D3">
        <w:rPr>
          <w:rFonts w:ascii="Times New Roman" w:hAnsi="Times New Roman" w:cs="Times New Roman"/>
        </w:rPr>
        <w:t>vega</w:t>
      </w:r>
      <w:proofErr w:type="spellEnd"/>
      <w:proofErr w:type="gramEnd"/>
      <w:r w:rsidRPr="001E69D3">
        <w:rPr>
          <w:rFonts w:ascii="Times New Roman" w:hAnsi="Times New Roman" w:cs="Times New Roman"/>
        </w:rPr>
        <w:t>) on corporate risk management, using the quasi-natural experimental setting created by the issuance of FAS 123R and a difference</w:t>
      </w:r>
      <w:r w:rsidR="00E95233">
        <w:rPr>
          <w:rFonts w:ascii="Times New Roman" w:hAnsi="Times New Roman" w:cs="Times New Roman"/>
        </w:rPr>
        <w:t>s</w:t>
      </w:r>
      <w:r w:rsidRPr="001E69D3">
        <w:rPr>
          <w:rFonts w:ascii="Times New Roman" w:hAnsi="Times New Roman" w:cs="Times New Roman"/>
        </w:rPr>
        <w:t>-in-differences</w:t>
      </w:r>
      <w:r w:rsidR="00E95233">
        <w:rPr>
          <w:rFonts w:ascii="Times New Roman" w:hAnsi="Times New Roman" w:cs="Times New Roman"/>
        </w:rPr>
        <w:t xml:space="preserve"> (DID)</w:t>
      </w:r>
      <w:r w:rsidRPr="001E69D3">
        <w:rPr>
          <w:rFonts w:ascii="Times New Roman" w:hAnsi="Times New Roman" w:cs="Times New Roman"/>
        </w:rPr>
        <w:t xml:space="preserve"> methodology. Specifically, we examine the causal effect of CEO compensation </w:t>
      </w:r>
      <w:proofErr w:type="spellStart"/>
      <w:proofErr w:type="gramStart"/>
      <w:r w:rsidRPr="001E69D3">
        <w:rPr>
          <w:rFonts w:ascii="Times New Roman" w:hAnsi="Times New Roman" w:cs="Times New Roman"/>
        </w:rPr>
        <w:t>vega</w:t>
      </w:r>
      <w:proofErr w:type="spellEnd"/>
      <w:proofErr w:type="gramEnd"/>
      <w:r w:rsidRPr="001E69D3">
        <w:rPr>
          <w:rFonts w:ascii="Times New Roman" w:hAnsi="Times New Roman" w:cs="Times New Roman"/>
        </w:rPr>
        <w:t xml:space="preserve"> on corporate hedging. The new regulation on expensing executive stock options took away the special </w:t>
      </w:r>
      <w:r w:rsidR="00C77432">
        <w:rPr>
          <w:rFonts w:ascii="Times New Roman" w:hAnsi="Times New Roman" w:cs="Times New Roman"/>
        </w:rPr>
        <w:t>accounting</w:t>
      </w:r>
      <w:r w:rsidR="00FE2E7D">
        <w:rPr>
          <w:rFonts w:ascii="Times New Roman" w:hAnsi="Times New Roman" w:cs="Times New Roman"/>
        </w:rPr>
        <w:t xml:space="preserve"> </w:t>
      </w:r>
      <w:r w:rsidRPr="001E69D3">
        <w:rPr>
          <w:rFonts w:ascii="Times New Roman" w:hAnsi="Times New Roman" w:cs="Times New Roman"/>
        </w:rPr>
        <w:t>treatment of stock options, resulting in a cutback in option pay among firms which paid their CEOs with options prior to this regulation</w:t>
      </w:r>
      <w:r w:rsidR="00AB22E7" w:rsidRPr="001E69D3">
        <w:rPr>
          <w:rFonts w:ascii="Times New Roman" w:hAnsi="Times New Roman" w:cs="Times New Roman"/>
        </w:rPr>
        <w:t xml:space="preserve"> (see Brown and Lee</w:t>
      </w:r>
      <w:r w:rsidR="006442E9">
        <w:rPr>
          <w:rFonts w:ascii="Times New Roman" w:hAnsi="Times New Roman" w:cs="Times New Roman"/>
        </w:rPr>
        <w:t>,</w:t>
      </w:r>
      <w:r w:rsidR="00AB22E7" w:rsidRPr="001E69D3">
        <w:rPr>
          <w:rFonts w:ascii="Times New Roman" w:hAnsi="Times New Roman" w:cs="Times New Roman"/>
        </w:rPr>
        <w:t xml:space="preserve"> 2011)</w:t>
      </w:r>
      <w:r w:rsidRPr="001E69D3">
        <w:rPr>
          <w:rFonts w:ascii="Times New Roman" w:hAnsi="Times New Roman" w:cs="Times New Roman"/>
        </w:rPr>
        <w:t xml:space="preserve">. We hypothesize that the change in expensing of executive stock options decreases the use of options in CEO pay packages which, in turn, reduces the sensitivity of CEO wealth to stock return volatility. As a result of the reduction in CEO compensation </w:t>
      </w:r>
      <w:proofErr w:type="spellStart"/>
      <w:proofErr w:type="gramStart"/>
      <w:r w:rsidRPr="001E69D3">
        <w:rPr>
          <w:rFonts w:ascii="Times New Roman" w:hAnsi="Times New Roman" w:cs="Times New Roman"/>
        </w:rPr>
        <w:t>vega</w:t>
      </w:r>
      <w:proofErr w:type="spellEnd"/>
      <w:proofErr w:type="gramEnd"/>
      <w:r w:rsidRPr="001E69D3">
        <w:rPr>
          <w:rFonts w:ascii="Times New Roman" w:hAnsi="Times New Roman" w:cs="Times New Roman"/>
        </w:rPr>
        <w:t>, we expect the risk-taking appetite of the CEO to decrease, causing an increase in corporate hedging.</w:t>
      </w:r>
    </w:p>
    <w:p w:rsidR="00704880" w:rsidRPr="001E69D3" w:rsidRDefault="00704880" w:rsidP="00704880">
      <w:pPr>
        <w:autoSpaceDE w:val="0"/>
        <w:autoSpaceDN w:val="0"/>
        <w:adjustRightInd w:val="0"/>
        <w:spacing w:after="0" w:line="480" w:lineRule="auto"/>
        <w:ind w:firstLine="720"/>
        <w:jc w:val="both"/>
        <w:rPr>
          <w:rFonts w:ascii="Times New Roman" w:hAnsi="Times New Roman" w:cs="Times New Roman"/>
        </w:rPr>
      </w:pPr>
      <w:r w:rsidRPr="001E69D3">
        <w:rPr>
          <w:rFonts w:ascii="Times New Roman" w:hAnsi="Times New Roman" w:cs="Times New Roman"/>
        </w:rPr>
        <w:t>Our main hypothesis is best tested in an industry where cash flow volatility is high enough to make risk management important. We therefore use a unique hand-collected dataset with detailed disclosed data on the hedging positions of firms from the oil and gas industry during 2003 to 2007</w:t>
      </w:r>
      <w:r w:rsidR="00031201">
        <w:rPr>
          <w:rFonts w:ascii="Times New Roman" w:hAnsi="Times New Roman" w:cs="Times New Roman"/>
        </w:rPr>
        <w:t>, the years around the FAS 123R compliance date</w:t>
      </w:r>
      <w:r w:rsidRPr="001E69D3">
        <w:rPr>
          <w:rFonts w:ascii="Times New Roman" w:hAnsi="Times New Roman" w:cs="Times New Roman"/>
        </w:rPr>
        <w:t xml:space="preserve">. Our sample firms are independent exploration and </w:t>
      </w:r>
      <w:r w:rsidRPr="001E69D3">
        <w:rPr>
          <w:rFonts w:ascii="Times New Roman" w:hAnsi="Times New Roman" w:cs="Times New Roman"/>
        </w:rPr>
        <w:lastRenderedPageBreak/>
        <w:t>production firms that are undiversified in terms of physical assets.</w:t>
      </w:r>
      <w:r w:rsidRPr="001E69D3">
        <w:rPr>
          <w:rStyle w:val="FootnoteReference"/>
          <w:rFonts w:ascii="Times New Roman" w:hAnsi="Times New Roman" w:cs="Times New Roman"/>
        </w:rPr>
        <w:footnoteReference w:id="2"/>
      </w:r>
      <w:r w:rsidRPr="001E69D3">
        <w:rPr>
          <w:rFonts w:ascii="Times New Roman" w:hAnsi="Times New Roman" w:cs="Times New Roman"/>
        </w:rPr>
        <w:t xml:space="preserve"> The data on firm's hedged positions were hand collected from 10-K forms filed by listed companies with the SEC. As in </w:t>
      </w:r>
      <w:proofErr w:type="spellStart"/>
      <w:r w:rsidR="00031201">
        <w:rPr>
          <w:rFonts w:ascii="Times New Roman" w:hAnsi="Times New Roman" w:cs="Times New Roman"/>
        </w:rPr>
        <w:t>Tufano</w:t>
      </w:r>
      <w:proofErr w:type="spellEnd"/>
      <w:r w:rsidR="00031201">
        <w:rPr>
          <w:rFonts w:ascii="Times New Roman" w:hAnsi="Times New Roman" w:cs="Times New Roman"/>
        </w:rPr>
        <w:t xml:space="preserve"> (1996), </w:t>
      </w:r>
      <w:proofErr w:type="spellStart"/>
      <w:r w:rsidRPr="001E69D3">
        <w:rPr>
          <w:rFonts w:ascii="Times New Roman" w:hAnsi="Times New Roman" w:cs="Times New Roman"/>
        </w:rPr>
        <w:t>Haushalter</w:t>
      </w:r>
      <w:proofErr w:type="spellEnd"/>
      <w:r w:rsidRPr="001E69D3">
        <w:rPr>
          <w:rFonts w:ascii="Times New Roman" w:hAnsi="Times New Roman" w:cs="Times New Roman"/>
        </w:rPr>
        <w:t xml:space="preserve"> (2000) and Kumar and </w:t>
      </w:r>
      <w:proofErr w:type="spellStart"/>
      <w:r w:rsidRPr="001E69D3">
        <w:rPr>
          <w:rFonts w:ascii="Times New Roman" w:hAnsi="Times New Roman" w:cs="Times New Roman"/>
        </w:rPr>
        <w:t>Rabinovitch</w:t>
      </w:r>
      <w:proofErr w:type="spellEnd"/>
      <w:r w:rsidRPr="001E69D3">
        <w:rPr>
          <w:rFonts w:ascii="Times New Roman" w:hAnsi="Times New Roman" w:cs="Times New Roman"/>
        </w:rPr>
        <w:t xml:space="preserve"> (2012), we develop a firm-wide measure of the level of risk management, or hedging intensity, based on the delta of the firm's derivatives portfolio.</w:t>
      </w:r>
    </w:p>
    <w:p w:rsidR="00704880" w:rsidRPr="001E69D3" w:rsidRDefault="00704880" w:rsidP="00704880">
      <w:pPr>
        <w:autoSpaceDE w:val="0"/>
        <w:autoSpaceDN w:val="0"/>
        <w:adjustRightInd w:val="0"/>
        <w:spacing w:after="0" w:line="480" w:lineRule="auto"/>
        <w:ind w:firstLine="720"/>
        <w:jc w:val="both"/>
        <w:rPr>
          <w:rFonts w:ascii="Times New Roman" w:hAnsi="Times New Roman" w:cs="Times New Roman"/>
        </w:rPr>
      </w:pPr>
      <w:r w:rsidRPr="001E69D3">
        <w:rPr>
          <w:rFonts w:ascii="Times New Roman" w:hAnsi="Times New Roman" w:cs="Times New Roman"/>
        </w:rPr>
        <w:t>We use a difference</w:t>
      </w:r>
      <w:r w:rsidR="00E95233">
        <w:rPr>
          <w:rFonts w:ascii="Times New Roman" w:hAnsi="Times New Roman" w:cs="Times New Roman"/>
        </w:rPr>
        <w:t>s</w:t>
      </w:r>
      <w:r w:rsidRPr="001E69D3">
        <w:rPr>
          <w:rFonts w:ascii="Times New Roman" w:hAnsi="Times New Roman" w:cs="Times New Roman"/>
        </w:rPr>
        <w:t xml:space="preserve">-in-differences (DID) analytical approach which, as noted by </w:t>
      </w:r>
      <w:proofErr w:type="spellStart"/>
      <w:r w:rsidRPr="001E69D3">
        <w:rPr>
          <w:rFonts w:ascii="Times New Roman" w:hAnsi="Times New Roman" w:cs="Times New Roman"/>
        </w:rPr>
        <w:t>Angrist</w:t>
      </w:r>
      <w:proofErr w:type="spellEnd"/>
      <w:r w:rsidRPr="001E69D3">
        <w:rPr>
          <w:rFonts w:ascii="Times New Roman" w:hAnsi="Times New Roman" w:cs="Times New Roman"/>
        </w:rPr>
        <w:t xml:space="preserve"> and Krueger (1999), is well placed to identify the effects of a sharp change in compensation policy such as FAS 123R on risk management. The main reason is that the relationship between compensation and risk management is naturally endogenous. Firms with risk-averse boards may choose to compensate managers with fewer options and simultaneously encourage the use of derivatives to mitigate commodity risk. Thus, any empirically documented association between option compensation and hedging is usually spurious. In this paper the change in compensation that arises from the regulatory change does not change the risk management incentives of companies. </w:t>
      </w:r>
    </w:p>
    <w:p w:rsidR="00704880" w:rsidRPr="001E69D3" w:rsidRDefault="00704880" w:rsidP="00704880">
      <w:pPr>
        <w:autoSpaceDE w:val="0"/>
        <w:autoSpaceDN w:val="0"/>
        <w:adjustRightInd w:val="0"/>
        <w:spacing w:after="0" w:line="480" w:lineRule="auto"/>
        <w:ind w:firstLine="720"/>
        <w:jc w:val="both"/>
        <w:rPr>
          <w:rFonts w:ascii="Times New Roman" w:hAnsi="Times New Roman" w:cs="Times New Roman"/>
        </w:rPr>
      </w:pPr>
      <w:r w:rsidRPr="001E69D3">
        <w:rPr>
          <w:rFonts w:ascii="Times New Roman" w:hAnsi="Times New Roman" w:cs="Times New Roman"/>
        </w:rPr>
        <w:t xml:space="preserve">In our tests, we define fiscal year 2005 as the beginning of the post-123R period, given that FAS 123R became effective as of the beginning of the first interim or annual reporting period that begins after December 15, 2005. We use this change of regulation because the resulting decrease in CEO compensation </w:t>
      </w:r>
      <w:proofErr w:type="spellStart"/>
      <w:proofErr w:type="gramStart"/>
      <w:r w:rsidRPr="001E69D3">
        <w:rPr>
          <w:rFonts w:ascii="Times New Roman" w:hAnsi="Times New Roman" w:cs="Times New Roman"/>
        </w:rPr>
        <w:t>vega</w:t>
      </w:r>
      <w:proofErr w:type="spellEnd"/>
      <w:proofErr w:type="gramEnd"/>
      <w:r w:rsidRPr="001E69D3">
        <w:rPr>
          <w:rFonts w:ascii="Times New Roman" w:hAnsi="Times New Roman" w:cs="Times New Roman"/>
        </w:rPr>
        <w:t xml:space="preserve"> is exogenous to corporate hedging. We compare the changes in corporate hedging intensity of treatment firms to those of control firms in pre-123R and post-123R periods. In doing so, we minimize the possibility that cross-sectional or time-series effects bias our results, by using </w:t>
      </w:r>
      <w:r w:rsidRPr="001E69D3">
        <w:rPr>
          <w:rFonts w:ascii="Times New Roman" w:eastAsia="Times New Roman" w:hAnsi="Times New Roman" w:cs="Times New Roman"/>
        </w:rPr>
        <w:t xml:space="preserve">a short window (two years in both the pre- and post-event periods) around the implementation of FAS 123R. </w:t>
      </w:r>
      <w:r w:rsidRPr="001E69D3">
        <w:rPr>
          <w:rFonts w:ascii="Times New Roman" w:hAnsi="Times New Roman" w:cs="Times New Roman"/>
        </w:rPr>
        <w:t xml:space="preserve">We construct two sets of control firms. The first set includes firms that did not use options in their CEO compensation packages in </w:t>
      </w:r>
      <w:r w:rsidR="00FE2E7D" w:rsidRPr="001E69D3">
        <w:rPr>
          <w:rFonts w:ascii="Times New Roman" w:hAnsi="Times New Roman" w:cs="Times New Roman"/>
        </w:rPr>
        <w:t>200</w:t>
      </w:r>
      <w:r w:rsidR="00FE2E7D">
        <w:rPr>
          <w:rFonts w:ascii="Times New Roman" w:hAnsi="Times New Roman" w:cs="Times New Roman"/>
        </w:rPr>
        <w:t>3</w:t>
      </w:r>
      <w:r w:rsidR="00FE2E7D" w:rsidRPr="001E69D3">
        <w:rPr>
          <w:rFonts w:ascii="Times New Roman" w:hAnsi="Times New Roman" w:cs="Times New Roman"/>
        </w:rPr>
        <w:t xml:space="preserve"> </w:t>
      </w:r>
      <w:r w:rsidRPr="001E69D3">
        <w:rPr>
          <w:rFonts w:ascii="Times New Roman" w:hAnsi="Times New Roman" w:cs="Times New Roman"/>
        </w:rPr>
        <w:t xml:space="preserve">and </w:t>
      </w:r>
      <w:r w:rsidR="00FE2E7D" w:rsidRPr="001E69D3">
        <w:rPr>
          <w:rFonts w:ascii="Times New Roman" w:hAnsi="Times New Roman" w:cs="Times New Roman"/>
        </w:rPr>
        <w:t>200</w:t>
      </w:r>
      <w:r w:rsidR="00FE2E7D">
        <w:rPr>
          <w:rFonts w:ascii="Times New Roman" w:hAnsi="Times New Roman" w:cs="Times New Roman"/>
        </w:rPr>
        <w:t>4</w:t>
      </w:r>
      <w:r w:rsidRPr="001E69D3">
        <w:rPr>
          <w:rFonts w:ascii="Times New Roman" w:hAnsi="Times New Roman" w:cs="Times New Roman"/>
        </w:rPr>
        <w:t xml:space="preserve">. These firms are not affected by the issuance of FAS 123R. The second set of control firms are firms that voluntarily used the fair-value method to account for stock options </w:t>
      </w:r>
      <w:r w:rsidR="00031201">
        <w:rPr>
          <w:rFonts w:ascii="Times New Roman" w:hAnsi="Times New Roman" w:cs="Times New Roman"/>
        </w:rPr>
        <w:t xml:space="preserve">in 2004, i.e., </w:t>
      </w:r>
      <w:r w:rsidRPr="001E69D3">
        <w:rPr>
          <w:rFonts w:ascii="Times New Roman" w:hAnsi="Times New Roman" w:cs="Times New Roman"/>
        </w:rPr>
        <w:t xml:space="preserve">before FAS 123R </w:t>
      </w:r>
      <w:r w:rsidR="00031201">
        <w:rPr>
          <w:rFonts w:ascii="Times New Roman" w:hAnsi="Times New Roman" w:cs="Times New Roman"/>
        </w:rPr>
        <w:t>went into effect</w:t>
      </w:r>
      <w:r w:rsidRPr="001E69D3">
        <w:rPr>
          <w:rFonts w:ascii="Times New Roman" w:hAnsi="Times New Roman" w:cs="Times New Roman"/>
        </w:rPr>
        <w:t xml:space="preserve">. </w:t>
      </w:r>
      <w:r w:rsidRPr="001E69D3">
        <w:rPr>
          <w:rFonts w:ascii="Times New Roman" w:hAnsi="Times New Roman" w:cs="Times New Roman"/>
          <w:sz w:val="16"/>
          <w:szCs w:val="16"/>
        </w:rPr>
        <w:t xml:space="preserve"> </w:t>
      </w:r>
      <w:r w:rsidRPr="001E69D3">
        <w:rPr>
          <w:rFonts w:ascii="Times New Roman" w:hAnsi="Times New Roman" w:cs="Times New Roman"/>
        </w:rPr>
        <w:t xml:space="preserve">These firms are also unaffected by the new regulation on expensing option grants. We show that before the issuance of FAS 123R our treatment firms are similar to our control firms in terms of different firm characteristics. </w:t>
      </w:r>
    </w:p>
    <w:p w:rsidR="00704880" w:rsidRPr="001E69D3" w:rsidRDefault="00704880" w:rsidP="00704880">
      <w:pPr>
        <w:pStyle w:val="ListParagraph"/>
        <w:widowControl w:val="0"/>
        <w:autoSpaceDE w:val="0"/>
        <w:autoSpaceDN w:val="0"/>
        <w:adjustRightInd w:val="0"/>
        <w:spacing w:after="0" w:line="480" w:lineRule="auto"/>
        <w:ind w:left="0" w:firstLine="720"/>
        <w:jc w:val="both"/>
        <w:rPr>
          <w:rFonts w:ascii="Times New Roman" w:hAnsi="Times New Roman" w:cs="Times New Roman"/>
        </w:rPr>
      </w:pPr>
      <w:r w:rsidRPr="001E69D3">
        <w:rPr>
          <w:rFonts w:ascii="Times New Roman" w:hAnsi="Times New Roman" w:cs="Times New Roman"/>
        </w:rPr>
        <w:lastRenderedPageBreak/>
        <w:t xml:space="preserve">In our analysis we also control for changes in the sensitivity of CEO wealth to stock price, or delta. Higher delta is seen as aligning the incentives of managers with the interests of shareholders. Higher delta results in managers working harder or more effectively because managers share gains and losses with shareholders. </w:t>
      </w:r>
      <w:r w:rsidR="00031201">
        <w:rPr>
          <w:rFonts w:ascii="Times New Roman" w:hAnsi="Times New Roman" w:cs="Times New Roman"/>
        </w:rPr>
        <w:t>Howe</w:t>
      </w:r>
      <w:r w:rsidRPr="001E69D3">
        <w:rPr>
          <w:rFonts w:ascii="Times New Roman" w:hAnsi="Times New Roman" w:cs="Times New Roman"/>
        </w:rPr>
        <w:t>ver, the sensitivity of CEO compensation to stock price that ties managers' wealth to stock prices decreases the willingness of risk-averse managers to bear risk. As a result, a higher CEO delta provides the manager with incentive to avoid risk and thus hedge more. The cutback in the use of option pay following the issuance of FAS 123R also decreases delta. A firm can avoid this reduction in delta by increasing other compensation alternatives that are sensitive to stock price. Although in our analysis we control for changes in CEO delta, firms in our treatment group replaced stock options with restricted stock and longer-term incentive plans resulting in CEO delta after FAS 123R that is not statistically different from delta before FAS 123R .</w:t>
      </w:r>
    </w:p>
    <w:p w:rsidR="00704880" w:rsidRPr="001E69D3" w:rsidRDefault="009401D7" w:rsidP="00704880">
      <w:pPr>
        <w:pStyle w:val="ListParagraph"/>
        <w:widowControl w:val="0"/>
        <w:autoSpaceDE w:val="0"/>
        <w:autoSpaceDN w:val="0"/>
        <w:adjustRightInd w:val="0"/>
        <w:spacing w:after="0" w:line="480" w:lineRule="auto"/>
        <w:ind w:left="0" w:firstLine="720"/>
        <w:jc w:val="both"/>
        <w:rPr>
          <w:rFonts w:ascii="Times New Roman" w:hAnsi="Times New Roman" w:cs="Times New Roman"/>
        </w:rPr>
      </w:pPr>
      <w:r w:rsidRPr="001E69D3">
        <w:rPr>
          <w:rFonts w:ascii="Times New Roman" w:hAnsi="Times New Roman" w:cs="Times New Roman"/>
        </w:rPr>
        <w:t xml:space="preserve">As expected we </w:t>
      </w:r>
      <w:r w:rsidR="00704880" w:rsidRPr="001E69D3">
        <w:rPr>
          <w:rFonts w:ascii="Times New Roman" w:hAnsi="Times New Roman" w:cs="Times New Roman"/>
        </w:rPr>
        <w:t>find a sharp reduction in compensation convexity (</w:t>
      </w:r>
      <w:proofErr w:type="spellStart"/>
      <w:proofErr w:type="gramStart"/>
      <w:r w:rsidR="00704880" w:rsidRPr="001E69D3">
        <w:rPr>
          <w:rFonts w:ascii="Times New Roman" w:hAnsi="Times New Roman" w:cs="Times New Roman"/>
        </w:rPr>
        <w:t>vega</w:t>
      </w:r>
      <w:proofErr w:type="spellEnd"/>
      <w:proofErr w:type="gramEnd"/>
      <w:r w:rsidR="00704880" w:rsidRPr="001E69D3">
        <w:rPr>
          <w:rFonts w:ascii="Times New Roman" w:hAnsi="Times New Roman" w:cs="Times New Roman"/>
        </w:rPr>
        <w:t>) following the adoption of FAS 123R</w:t>
      </w:r>
      <w:r w:rsidR="00031201">
        <w:rPr>
          <w:rFonts w:ascii="Times New Roman" w:hAnsi="Times New Roman" w:cs="Times New Roman"/>
        </w:rPr>
        <w:t xml:space="preserve">. We observe no statistically significant change in </w:t>
      </w:r>
      <w:r w:rsidR="00704880" w:rsidRPr="001E69D3">
        <w:rPr>
          <w:rFonts w:ascii="Times New Roman" w:hAnsi="Times New Roman" w:cs="Times New Roman"/>
        </w:rPr>
        <w:t xml:space="preserve">pay-performance sensitivity (delta). The reduction in </w:t>
      </w:r>
      <w:proofErr w:type="spellStart"/>
      <w:r w:rsidR="00704880" w:rsidRPr="001E69D3">
        <w:rPr>
          <w:rFonts w:ascii="Times New Roman" w:hAnsi="Times New Roman" w:cs="Times New Roman"/>
        </w:rPr>
        <w:t>vega</w:t>
      </w:r>
      <w:proofErr w:type="spellEnd"/>
      <w:r w:rsidR="00704880" w:rsidRPr="001E69D3">
        <w:rPr>
          <w:rFonts w:ascii="Times New Roman" w:hAnsi="Times New Roman" w:cs="Times New Roman"/>
        </w:rPr>
        <w:t xml:space="preserve"> is not surprising since FAS 123R made option pay less favorable, and what we observe is a shift to stock-based compensation that resulted in higher deltas post FAS 123R. The results from</w:t>
      </w:r>
      <w:r w:rsidR="00E95233">
        <w:rPr>
          <w:rFonts w:ascii="Times New Roman" w:hAnsi="Times New Roman" w:cs="Times New Roman"/>
        </w:rPr>
        <w:t xml:space="preserve"> our </w:t>
      </w:r>
      <w:r w:rsidR="00704880" w:rsidRPr="001E69D3">
        <w:rPr>
          <w:rFonts w:ascii="Times New Roman" w:hAnsi="Times New Roman" w:cs="Times New Roman"/>
        </w:rPr>
        <w:t xml:space="preserve">DID regressions show that for both control groups, FAS 123R induced declines in CEO </w:t>
      </w:r>
      <w:proofErr w:type="spellStart"/>
      <w:proofErr w:type="gramStart"/>
      <w:r w:rsidR="00704880" w:rsidRPr="001E69D3">
        <w:rPr>
          <w:rFonts w:ascii="Times New Roman" w:hAnsi="Times New Roman" w:cs="Times New Roman"/>
        </w:rPr>
        <w:t>vega</w:t>
      </w:r>
      <w:proofErr w:type="spellEnd"/>
      <w:proofErr w:type="gramEnd"/>
      <w:r w:rsidR="00704880" w:rsidRPr="001E69D3">
        <w:rPr>
          <w:rFonts w:ascii="Times New Roman" w:hAnsi="Times New Roman" w:cs="Times New Roman"/>
        </w:rPr>
        <w:t xml:space="preserve">, thereby also validating that our natural experiment operates primarily through a large negative shock to </w:t>
      </w:r>
      <w:proofErr w:type="spellStart"/>
      <w:r w:rsidR="00704880" w:rsidRPr="001E69D3">
        <w:rPr>
          <w:rFonts w:ascii="Times New Roman" w:hAnsi="Times New Roman" w:cs="Times New Roman"/>
        </w:rPr>
        <w:t>vega</w:t>
      </w:r>
      <w:proofErr w:type="spellEnd"/>
      <w:r w:rsidR="00704880" w:rsidRPr="001E69D3">
        <w:rPr>
          <w:rFonts w:ascii="Times New Roman" w:hAnsi="Times New Roman" w:cs="Times New Roman"/>
        </w:rPr>
        <w:t>. It also points to the fact that despite our relatively small sample, our DID technique has enough power to uncover significant effects of the policy change. On the other hand, the shock has an insignificant effect on delta, indicating that the overall increases in delta were similar for both treated and control group and not caused by FAS 123R.  It also validates our DID technique as it shows that variables we expect should not be affected by the policy change are insignificant.</w:t>
      </w:r>
    </w:p>
    <w:p w:rsidR="00704880" w:rsidRPr="001E69D3" w:rsidRDefault="00704880" w:rsidP="00704880">
      <w:pPr>
        <w:autoSpaceDE w:val="0"/>
        <w:autoSpaceDN w:val="0"/>
        <w:adjustRightInd w:val="0"/>
        <w:spacing w:after="0" w:line="480" w:lineRule="auto"/>
        <w:jc w:val="both"/>
        <w:rPr>
          <w:rFonts w:ascii="Times New Roman" w:eastAsia="Times New Roman" w:hAnsi="Times New Roman" w:cs="Times New Roman"/>
        </w:rPr>
      </w:pPr>
      <w:r w:rsidRPr="001E69D3">
        <w:rPr>
          <w:rFonts w:ascii="Times New Roman" w:hAnsi="Times New Roman" w:cs="Times New Roman"/>
        </w:rPr>
        <w:tab/>
        <w:t xml:space="preserve">We observe a sharp effect of the decline in </w:t>
      </w:r>
      <w:proofErr w:type="spellStart"/>
      <w:proofErr w:type="gramStart"/>
      <w:r w:rsidRPr="001E69D3">
        <w:rPr>
          <w:rFonts w:ascii="Times New Roman" w:hAnsi="Times New Roman" w:cs="Times New Roman"/>
        </w:rPr>
        <w:t>vega</w:t>
      </w:r>
      <w:proofErr w:type="spellEnd"/>
      <w:proofErr w:type="gramEnd"/>
      <w:r w:rsidRPr="001E69D3">
        <w:rPr>
          <w:rFonts w:ascii="Times New Roman" w:hAnsi="Times New Roman" w:cs="Times New Roman"/>
        </w:rPr>
        <w:t xml:space="preserve"> induced by FAS 123R on corporate hedging. In our basic specification</w:t>
      </w:r>
      <w:r w:rsidR="00E95233">
        <w:rPr>
          <w:rFonts w:ascii="Times New Roman" w:hAnsi="Times New Roman" w:cs="Times New Roman"/>
        </w:rPr>
        <w:t xml:space="preserve"> without controls, the DID</w:t>
      </w:r>
      <w:r w:rsidR="000C1EB0" w:rsidRPr="001E69D3">
        <w:rPr>
          <w:rFonts w:ascii="Times New Roman" w:hAnsi="Times New Roman" w:cs="Times New Roman"/>
        </w:rPr>
        <w:t xml:space="preserve"> estimator is 0.136</w:t>
      </w:r>
      <w:r w:rsidRPr="001E69D3">
        <w:rPr>
          <w:rFonts w:ascii="Times New Roman" w:hAnsi="Times New Roman" w:cs="Times New Roman"/>
        </w:rPr>
        <w:t xml:space="preserve"> for control group 1, which means that hedging increased by </w:t>
      </w:r>
      <w:r w:rsidR="000C1EB0" w:rsidRPr="001E69D3">
        <w:rPr>
          <w:rFonts w:ascii="Times New Roman" w:hAnsi="Times New Roman" w:cs="Times New Roman"/>
        </w:rPr>
        <w:t>13</w:t>
      </w:r>
      <w:r w:rsidRPr="001E69D3">
        <w:rPr>
          <w:rFonts w:ascii="Times New Roman" w:hAnsi="Times New Roman" w:cs="Times New Roman"/>
        </w:rPr>
        <w:t>.</w:t>
      </w:r>
      <w:r w:rsidR="000C1EB0" w:rsidRPr="001E69D3">
        <w:rPr>
          <w:rFonts w:ascii="Times New Roman" w:hAnsi="Times New Roman" w:cs="Times New Roman"/>
        </w:rPr>
        <w:t>6</w:t>
      </w:r>
      <w:r w:rsidRPr="001E69D3">
        <w:rPr>
          <w:rFonts w:ascii="Times New Roman" w:hAnsi="Times New Roman" w:cs="Times New Roman"/>
        </w:rPr>
        <w:t xml:space="preserve">% of production in treated firms relative to control firms, an increase of </w:t>
      </w:r>
      <w:r w:rsidR="000C1EB0" w:rsidRPr="001E69D3">
        <w:rPr>
          <w:rFonts w:ascii="Times New Roman" w:hAnsi="Times New Roman" w:cs="Times New Roman"/>
        </w:rPr>
        <w:t>about</w:t>
      </w:r>
      <w:r w:rsidRPr="001E69D3">
        <w:rPr>
          <w:rFonts w:ascii="Times New Roman" w:hAnsi="Times New Roman" w:cs="Times New Roman"/>
        </w:rPr>
        <w:t xml:space="preserve"> </w:t>
      </w:r>
      <w:r w:rsidR="000C1EB0" w:rsidRPr="001E69D3">
        <w:rPr>
          <w:rFonts w:ascii="Times New Roman" w:hAnsi="Times New Roman" w:cs="Times New Roman"/>
        </w:rPr>
        <w:t>6</w:t>
      </w:r>
      <w:r w:rsidRPr="001E69D3">
        <w:rPr>
          <w:rFonts w:ascii="Times New Roman" w:hAnsi="Times New Roman" w:cs="Times New Roman"/>
        </w:rPr>
        <w:t xml:space="preserve">0% relative to pre-treatment averages of 22% of production hedged. The results are quantitatively </w:t>
      </w:r>
      <w:r w:rsidRPr="001E69D3">
        <w:rPr>
          <w:rFonts w:ascii="Times New Roman" w:hAnsi="Times New Roman" w:cs="Times New Roman"/>
        </w:rPr>
        <w:lastRenderedPageBreak/>
        <w:t xml:space="preserve">similar for hedging as a percentage of reserves. Taken together these findings suggest that the decline in </w:t>
      </w:r>
      <w:proofErr w:type="spellStart"/>
      <w:proofErr w:type="gramStart"/>
      <w:r w:rsidRPr="001E69D3">
        <w:rPr>
          <w:rFonts w:ascii="Times New Roman" w:hAnsi="Times New Roman" w:cs="Times New Roman"/>
        </w:rPr>
        <w:t>vega</w:t>
      </w:r>
      <w:proofErr w:type="spellEnd"/>
      <w:proofErr w:type="gramEnd"/>
      <w:r w:rsidRPr="001E69D3">
        <w:rPr>
          <w:rFonts w:ascii="Times New Roman" w:hAnsi="Times New Roman" w:cs="Times New Roman"/>
        </w:rPr>
        <w:t xml:space="preserve"> that was a direct result of FAS 123R caused increased hedging in our sample of oil and gas </w:t>
      </w:r>
      <w:r w:rsidR="00031201">
        <w:rPr>
          <w:rFonts w:ascii="Times New Roman" w:hAnsi="Times New Roman" w:cs="Times New Roman"/>
        </w:rPr>
        <w:t xml:space="preserve">exploration </w:t>
      </w:r>
      <w:r w:rsidRPr="001E69D3">
        <w:rPr>
          <w:rFonts w:ascii="Times New Roman" w:hAnsi="Times New Roman" w:cs="Times New Roman"/>
        </w:rPr>
        <w:t>firms.</w:t>
      </w:r>
      <w:r w:rsidRPr="001E69D3">
        <w:rPr>
          <w:rStyle w:val="FootnoteReference"/>
          <w:rFonts w:ascii="Times New Roman" w:hAnsi="Times New Roman" w:cs="Times New Roman"/>
        </w:rPr>
        <w:footnoteReference w:id="3"/>
      </w:r>
      <w:r w:rsidRPr="001E69D3">
        <w:rPr>
          <w:rFonts w:ascii="Times New Roman" w:hAnsi="Times New Roman" w:cs="Times New Roman"/>
        </w:rPr>
        <w:t xml:space="preserve"> Our findings are robust to a variety of controls and verification that the key identifying assumption behind our DID estimation technique -- that the parallel trends assumption is sa</w:t>
      </w:r>
      <w:r w:rsidR="005C4219">
        <w:rPr>
          <w:rFonts w:ascii="Times New Roman" w:hAnsi="Times New Roman" w:cs="Times New Roman"/>
        </w:rPr>
        <w:t>tisfied – holds for our sample.</w:t>
      </w:r>
      <w:r w:rsidR="005C4219">
        <w:rPr>
          <w:rStyle w:val="FootnoteReference"/>
          <w:rFonts w:ascii="Times New Roman" w:hAnsi="Times New Roman" w:cs="Times New Roman"/>
        </w:rPr>
        <w:footnoteReference w:id="4"/>
      </w:r>
    </w:p>
    <w:p w:rsidR="00AB22E7" w:rsidRPr="001E69D3" w:rsidRDefault="00704880">
      <w:pPr>
        <w:autoSpaceDE w:val="0"/>
        <w:autoSpaceDN w:val="0"/>
        <w:adjustRightInd w:val="0"/>
        <w:spacing w:after="120" w:line="480" w:lineRule="auto"/>
        <w:jc w:val="both"/>
        <w:rPr>
          <w:rFonts w:ascii="Times New Roman" w:hAnsi="Times New Roman" w:cs="Times New Roman"/>
        </w:rPr>
      </w:pPr>
      <w:r w:rsidRPr="001E69D3">
        <w:rPr>
          <w:rFonts w:ascii="Times New Roman" w:hAnsi="Times New Roman" w:cs="Times New Roman"/>
        </w:rPr>
        <w:tab/>
      </w:r>
      <w:r w:rsidR="00C8135C">
        <w:rPr>
          <w:rFonts w:ascii="Times New Roman" w:hAnsi="Times New Roman" w:cs="Times New Roman"/>
        </w:rPr>
        <w:t>While being the first to establish the causal effect of option compensation on corporate hedging, o</w:t>
      </w:r>
      <w:r w:rsidR="003F0348" w:rsidRPr="001E69D3">
        <w:rPr>
          <w:rFonts w:ascii="Times New Roman" w:hAnsi="Times New Roman" w:cs="Times New Roman"/>
        </w:rPr>
        <w:t xml:space="preserve">ur </w:t>
      </w:r>
      <w:r w:rsidR="00031201">
        <w:rPr>
          <w:rFonts w:ascii="Times New Roman" w:hAnsi="Times New Roman" w:cs="Times New Roman"/>
        </w:rPr>
        <w:t xml:space="preserve">study builds on </w:t>
      </w:r>
      <w:r w:rsidR="00C8135C">
        <w:rPr>
          <w:rFonts w:ascii="Times New Roman" w:hAnsi="Times New Roman" w:cs="Times New Roman"/>
        </w:rPr>
        <w:t xml:space="preserve">the findings in </w:t>
      </w:r>
      <w:r w:rsidR="00031201">
        <w:rPr>
          <w:rFonts w:ascii="Times New Roman" w:hAnsi="Times New Roman" w:cs="Times New Roman"/>
        </w:rPr>
        <w:t>two recent papers</w:t>
      </w:r>
      <w:r w:rsidR="00726DF0">
        <w:rPr>
          <w:rFonts w:ascii="Times New Roman" w:hAnsi="Times New Roman" w:cs="Times New Roman"/>
        </w:rPr>
        <w:t xml:space="preserve">, by </w:t>
      </w:r>
      <w:r w:rsidR="00C8135C">
        <w:rPr>
          <w:rFonts w:ascii="Times New Roman" w:hAnsi="Times New Roman" w:cs="Times New Roman"/>
        </w:rPr>
        <w:t xml:space="preserve">Chava and </w:t>
      </w:r>
      <w:proofErr w:type="spellStart"/>
      <w:r w:rsidR="00C8135C">
        <w:rPr>
          <w:rFonts w:ascii="Times New Roman" w:hAnsi="Times New Roman" w:cs="Times New Roman"/>
        </w:rPr>
        <w:t>Purnanandam</w:t>
      </w:r>
      <w:proofErr w:type="spellEnd"/>
      <w:r w:rsidR="00C8135C">
        <w:rPr>
          <w:rFonts w:ascii="Times New Roman" w:hAnsi="Times New Roman" w:cs="Times New Roman"/>
        </w:rPr>
        <w:t xml:space="preserve"> (2010) and </w:t>
      </w:r>
      <w:r w:rsidR="00726DF0" w:rsidRPr="00726DF0">
        <w:rPr>
          <w:rFonts w:ascii="Times New Roman" w:hAnsi="Times New Roman" w:cs="Times New Roman"/>
        </w:rPr>
        <w:t xml:space="preserve">Hayes, Lemmon and </w:t>
      </w:r>
      <w:proofErr w:type="spellStart"/>
      <w:r w:rsidR="00726DF0" w:rsidRPr="00726DF0">
        <w:rPr>
          <w:rFonts w:ascii="Times New Roman" w:hAnsi="Times New Roman" w:cs="Times New Roman"/>
        </w:rPr>
        <w:t>Qiu</w:t>
      </w:r>
      <w:proofErr w:type="spellEnd"/>
      <w:r w:rsidR="00726DF0" w:rsidRPr="00726DF0">
        <w:rPr>
          <w:rFonts w:ascii="Times New Roman" w:hAnsi="Times New Roman" w:cs="Times New Roman"/>
        </w:rPr>
        <w:t xml:space="preserve"> (2012)</w:t>
      </w:r>
      <w:r w:rsidR="00B87971">
        <w:rPr>
          <w:rFonts w:ascii="Times New Roman" w:hAnsi="Times New Roman" w:cs="Times New Roman"/>
        </w:rPr>
        <w:t>,</w:t>
      </w:r>
      <w:r w:rsidR="00031201">
        <w:rPr>
          <w:rFonts w:ascii="Times New Roman" w:hAnsi="Times New Roman" w:cs="Times New Roman"/>
        </w:rPr>
        <w:t xml:space="preserve"> that </w:t>
      </w:r>
      <w:r w:rsidR="00C8135C">
        <w:rPr>
          <w:rFonts w:ascii="Times New Roman" w:hAnsi="Times New Roman" w:cs="Times New Roman"/>
        </w:rPr>
        <w:t xml:space="preserve">also </w:t>
      </w:r>
      <w:r w:rsidR="00031201">
        <w:rPr>
          <w:rFonts w:ascii="Times New Roman" w:hAnsi="Times New Roman" w:cs="Times New Roman"/>
        </w:rPr>
        <w:t xml:space="preserve">use FAS 123R </w:t>
      </w:r>
      <w:r w:rsidR="00726DF0">
        <w:rPr>
          <w:rFonts w:ascii="Times New Roman" w:hAnsi="Times New Roman" w:cs="Times New Roman"/>
        </w:rPr>
        <w:t xml:space="preserve">as a </w:t>
      </w:r>
      <w:r w:rsidR="00031201">
        <w:rPr>
          <w:rFonts w:ascii="Times New Roman" w:hAnsi="Times New Roman" w:cs="Times New Roman"/>
        </w:rPr>
        <w:t>natural experiment to study the relation between compensation convexity and corporate risk taking.</w:t>
      </w:r>
      <w:r w:rsidR="007A25A6" w:rsidRPr="007A25A6">
        <w:rPr>
          <w:rStyle w:val="FootnoteReference"/>
          <w:rFonts w:ascii="Times New Roman" w:hAnsi="Times New Roman" w:cs="Times New Roman"/>
        </w:rPr>
        <w:t xml:space="preserve"> </w:t>
      </w:r>
      <w:r w:rsidR="00C8135C">
        <w:rPr>
          <w:rFonts w:ascii="Times New Roman" w:hAnsi="Times New Roman" w:cs="Times New Roman"/>
        </w:rPr>
        <w:t xml:space="preserve">Chava and </w:t>
      </w:r>
      <w:proofErr w:type="spellStart"/>
      <w:r w:rsidR="00C8135C">
        <w:rPr>
          <w:rFonts w:ascii="Times New Roman" w:hAnsi="Times New Roman" w:cs="Times New Roman"/>
        </w:rPr>
        <w:t>Purnanandam</w:t>
      </w:r>
      <w:proofErr w:type="spellEnd"/>
      <w:r w:rsidR="00C8135C">
        <w:rPr>
          <w:rFonts w:ascii="Times New Roman" w:hAnsi="Times New Roman" w:cs="Times New Roman"/>
        </w:rPr>
        <w:t xml:space="preserve"> (2010) </w:t>
      </w:r>
      <w:r w:rsidR="00C8135C" w:rsidRPr="00C8135C">
        <w:rPr>
          <w:rFonts w:ascii="Times New Roman" w:hAnsi="Times New Roman" w:cs="Times New Roman"/>
        </w:rPr>
        <w:t>study the relat</w:t>
      </w:r>
      <w:r w:rsidR="005527B8">
        <w:rPr>
          <w:rFonts w:ascii="Times New Roman" w:hAnsi="Times New Roman" w:cs="Times New Roman"/>
        </w:rPr>
        <w:t>ionship between managerial risk-</w:t>
      </w:r>
      <w:r w:rsidR="00C8135C" w:rsidRPr="00C8135C">
        <w:rPr>
          <w:rFonts w:ascii="Times New Roman" w:hAnsi="Times New Roman" w:cs="Times New Roman"/>
        </w:rPr>
        <w:t>taking incentives and corporate financial policies around FAS 123R</w:t>
      </w:r>
      <w:r w:rsidR="000D0C1D">
        <w:rPr>
          <w:rFonts w:ascii="Times New Roman" w:hAnsi="Times New Roman" w:cs="Times New Roman"/>
        </w:rPr>
        <w:t xml:space="preserve"> and show that </w:t>
      </w:r>
      <w:r w:rsidR="00C8135C" w:rsidRPr="00C8135C">
        <w:rPr>
          <w:rFonts w:ascii="Times New Roman" w:hAnsi="Times New Roman" w:cs="Times New Roman"/>
        </w:rPr>
        <w:t>the reduced C</w:t>
      </w:r>
      <w:r w:rsidR="005527B8">
        <w:rPr>
          <w:rFonts w:ascii="Times New Roman" w:hAnsi="Times New Roman" w:cs="Times New Roman"/>
        </w:rPr>
        <w:t>EO risk-</w:t>
      </w:r>
      <w:r w:rsidR="00C8135C" w:rsidRPr="00C8135C">
        <w:rPr>
          <w:rFonts w:ascii="Times New Roman" w:hAnsi="Times New Roman" w:cs="Times New Roman"/>
        </w:rPr>
        <w:t>taking incentives after FAS 123R resulted in reduced leverage</w:t>
      </w:r>
      <w:r w:rsidR="000D0C1D">
        <w:rPr>
          <w:rFonts w:ascii="Times New Roman" w:hAnsi="Times New Roman" w:cs="Times New Roman"/>
        </w:rPr>
        <w:t xml:space="preserve">, higher cash balances and greater </w:t>
      </w:r>
      <w:r w:rsidR="00C8135C" w:rsidRPr="00C8135C">
        <w:rPr>
          <w:rFonts w:ascii="Times New Roman" w:hAnsi="Times New Roman" w:cs="Times New Roman"/>
        </w:rPr>
        <w:t>earnings management.</w:t>
      </w:r>
      <w:r w:rsidR="00803959" w:rsidRPr="00803959">
        <w:rPr>
          <w:rStyle w:val="FootnoteReference"/>
          <w:rFonts w:ascii="Times New Roman" w:hAnsi="Times New Roman" w:cs="Times New Roman"/>
        </w:rPr>
        <w:t xml:space="preserve"> </w:t>
      </w:r>
      <w:r w:rsidR="00803959">
        <w:rPr>
          <w:rStyle w:val="FootnoteReference"/>
          <w:rFonts w:ascii="Times New Roman" w:hAnsi="Times New Roman" w:cs="Times New Roman"/>
        </w:rPr>
        <w:footnoteReference w:id="5"/>
      </w:r>
      <w:r w:rsidR="000D0C1D">
        <w:rPr>
          <w:rFonts w:ascii="Times New Roman" w:hAnsi="Times New Roman" w:cs="Times New Roman"/>
        </w:rPr>
        <w:t xml:space="preserve"> In contrast, </w:t>
      </w:r>
      <w:r w:rsidR="000D0C1D" w:rsidRPr="001E69D3">
        <w:rPr>
          <w:rFonts w:ascii="Times New Roman" w:hAnsi="Times New Roman" w:cs="Times New Roman"/>
        </w:rPr>
        <w:t xml:space="preserve">Hayes, Lemmon and </w:t>
      </w:r>
      <w:proofErr w:type="spellStart"/>
      <w:r w:rsidR="000D0C1D" w:rsidRPr="001E69D3">
        <w:rPr>
          <w:rFonts w:ascii="Times New Roman" w:hAnsi="Times New Roman" w:cs="Times New Roman"/>
        </w:rPr>
        <w:t>Qiu</w:t>
      </w:r>
      <w:proofErr w:type="spellEnd"/>
      <w:r w:rsidR="000D0C1D" w:rsidRPr="001E69D3">
        <w:rPr>
          <w:rFonts w:ascii="Times New Roman" w:hAnsi="Times New Roman" w:cs="Times New Roman"/>
        </w:rPr>
        <w:t xml:space="preserve"> (2012) find no relation between a FAS 123R-induced reduction in </w:t>
      </w:r>
      <w:proofErr w:type="spellStart"/>
      <w:proofErr w:type="gramStart"/>
      <w:r w:rsidR="000D0C1D" w:rsidRPr="001E69D3">
        <w:rPr>
          <w:rFonts w:ascii="Times New Roman" w:hAnsi="Times New Roman" w:cs="Times New Roman"/>
        </w:rPr>
        <w:t>vega</w:t>
      </w:r>
      <w:proofErr w:type="spellEnd"/>
      <w:proofErr w:type="gramEnd"/>
      <w:r w:rsidR="000D0C1D" w:rsidRPr="001E69D3">
        <w:rPr>
          <w:rFonts w:ascii="Times New Roman" w:hAnsi="Times New Roman" w:cs="Times New Roman"/>
        </w:rPr>
        <w:t xml:space="preserve"> and changes in five proxies of corporate risk-taking -- R&amp;D expenditure, capital expenditure, leverage, cash holdings and firm risk.</w:t>
      </w:r>
      <w:r w:rsidR="000D0C1D">
        <w:rPr>
          <w:rFonts w:ascii="Times New Roman" w:hAnsi="Times New Roman" w:cs="Times New Roman"/>
        </w:rPr>
        <w:t xml:space="preserve"> </w:t>
      </w:r>
      <w:r w:rsidR="007B74DB">
        <w:rPr>
          <w:rFonts w:ascii="Times New Roman" w:hAnsi="Times New Roman" w:cs="Times New Roman"/>
        </w:rPr>
        <w:t>In contrast</w:t>
      </w:r>
      <w:r w:rsidR="00C67C3E">
        <w:rPr>
          <w:rFonts w:ascii="Times New Roman" w:hAnsi="Times New Roman" w:cs="Times New Roman"/>
        </w:rPr>
        <w:t xml:space="preserve"> to</w:t>
      </w:r>
      <w:r w:rsidR="00C13E90">
        <w:rPr>
          <w:rFonts w:ascii="Times New Roman" w:hAnsi="Times New Roman" w:cs="Times New Roman"/>
        </w:rPr>
        <w:t xml:space="preserve"> both</w:t>
      </w:r>
      <w:r w:rsidR="00C67C3E">
        <w:rPr>
          <w:rFonts w:ascii="Times New Roman" w:hAnsi="Times New Roman" w:cs="Times New Roman"/>
        </w:rPr>
        <w:t xml:space="preserve"> Chava and </w:t>
      </w:r>
      <w:proofErr w:type="spellStart"/>
      <w:r w:rsidR="00C67C3E">
        <w:rPr>
          <w:rFonts w:ascii="Times New Roman" w:hAnsi="Times New Roman" w:cs="Times New Roman"/>
        </w:rPr>
        <w:t>Purnanandam</w:t>
      </w:r>
      <w:proofErr w:type="spellEnd"/>
      <w:r w:rsidR="00C67C3E">
        <w:rPr>
          <w:rFonts w:ascii="Times New Roman" w:hAnsi="Times New Roman" w:cs="Times New Roman"/>
        </w:rPr>
        <w:t xml:space="preserve"> (2010) </w:t>
      </w:r>
      <w:r w:rsidR="006079E7">
        <w:rPr>
          <w:rFonts w:ascii="Times New Roman" w:hAnsi="Times New Roman" w:cs="Times New Roman"/>
        </w:rPr>
        <w:t xml:space="preserve">and </w:t>
      </w:r>
      <w:r w:rsidR="007B74DB" w:rsidRPr="001E69D3">
        <w:rPr>
          <w:rFonts w:ascii="Times New Roman" w:hAnsi="Times New Roman" w:cs="Times New Roman"/>
        </w:rPr>
        <w:t xml:space="preserve">Hayes, Lemmon and </w:t>
      </w:r>
      <w:proofErr w:type="spellStart"/>
      <w:r w:rsidR="007B74DB" w:rsidRPr="001E69D3">
        <w:rPr>
          <w:rFonts w:ascii="Times New Roman" w:hAnsi="Times New Roman" w:cs="Times New Roman"/>
        </w:rPr>
        <w:t>Qiu</w:t>
      </w:r>
      <w:proofErr w:type="spellEnd"/>
      <w:r w:rsidR="007B74DB" w:rsidRPr="001E69D3">
        <w:rPr>
          <w:rFonts w:ascii="Times New Roman" w:hAnsi="Times New Roman" w:cs="Times New Roman"/>
        </w:rPr>
        <w:t xml:space="preserve"> (2012)</w:t>
      </w:r>
      <w:r w:rsidR="006079E7">
        <w:rPr>
          <w:rFonts w:ascii="Times New Roman" w:hAnsi="Times New Roman" w:cs="Times New Roman"/>
        </w:rPr>
        <w:t>,</w:t>
      </w:r>
      <w:r w:rsidR="007B74DB">
        <w:rPr>
          <w:rFonts w:ascii="Times New Roman" w:hAnsi="Times New Roman" w:cs="Times New Roman"/>
        </w:rPr>
        <w:t xml:space="preserve"> </w:t>
      </w:r>
      <w:r w:rsidR="00E95233">
        <w:rPr>
          <w:rFonts w:ascii="Times New Roman" w:hAnsi="Times New Roman" w:cs="Times New Roman"/>
        </w:rPr>
        <w:t xml:space="preserve">we conduct a DID estimation by </w:t>
      </w:r>
      <w:r w:rsidR="007B74DB">
        <w:rPr>
          <w:rFonts w:ascii="Times New Roman" w:hAnsi="Times New Roman" w:cs="Times New Roman"/>
        </w:rPr>
        <w:t>exploit</w:t>
      </w:r>
      <w:r w:rsidR="00E95233">
        <w:rPr>
          <w:rFonts w:ascii="Times New Roman" w:hAnsi="Times New Roman" w:cs="Times New Roman"/>
        </w:rPr>
        <w:t>ing</w:t>
      </w:r>
      <w:r w:rsidR="007B74DB">
        <w:rPr>
          <w:rFonts w:ascii="Times New Roman" w:hAnsi="Times New Roman" w:cs="Times New Roman"/>
        </w:rPr>
        <w:t xml:space="preserve"> the cross-sectional differences in the FAS 123R</w:t>
      </w:r>
      <w:r w:rsidR="00E95233">
        <w:rPr>
          <w:rFonts w:ascii="Times New Roman" w:hAnsi="Times New Roman" w:cs="Times New Roman"/>
        </w:rPr>
        <w:t xml:space="preserve"> impact across our sample firms </w:t>
      </w:r>
      <w:r w:rsidR="007B74DB" w:rsidRPr="007B74DB">
        <w:rPr>
          <w:rFonts w:ascii="Times New Roman" w:hAnsi="Times New Roman" w:cs="Times New Roman"/>
        </w:rPr>
        <w:t>to guard against systematic changes in unobservable variables that are correlated with corporate policies</w:t>
      </w:r>
      <w:r w:rsidR="007B74DB">
        <w:rPr>
          <w:rFonts w:ascii="Times New Roman" w:hAnsi="Times New Roman" w:cs="Times New Roman"/>
        </w:rPr>
        <w:t>.</w:t>
      </w:r>
      <w:r w:rsidR="00803959">
        <w:rPr>
          <w:rStyle w:val="FootnoteReference"/>
          <w:rFonts w:ascii="Times New Roman" w:hAnsi="Times New Roman" w:cs="Times New Roman"/>
        </w:rPr>
        <w:footnoteReference w:id="6"/>
      </w:r>
      <w:r w:rsidR="003D6D00">
        <w:rPr>
          <w:rFonts w:ascii="Times New Roman" w:hAnsi="Times New Roman" w:cs="Times New Roman"/>
        </w:rPr>
        <w:t xml:space="preserve"> </w:t>
      </w:r>
      <w:r w:rsidR="007B74DB">
        <w:rPr>
          <w:rFonts w:ascii="Times New Roman" w:hAnsi="Times New Roman" w:cs="Times New Roman"/>
        </w:rPr>
        <w:t xml:space="preserve">While </w:t>
      </w:r>
      <w:r w:rsidR="007B74DB">
        <w:rPr>
          <w:rFonts w:ascii="Times New Roman" w:hAnsi="Times New Roman" w:cs="Times New Roman"/>
        </w:rPr>
        <w:lastRenderedPageBreak/>
        <w:t xml:space="preserve">we find </w:t>
      </w:r>
      <w:r w:rsidR="007B74DB" w:rsidRPr="007B74DB">
        <w:rPr>
          <w:rFonts w:ascii="Times New Roman" w:hAnsi="Times New Roman" w:cs="Times New Roman"/>
        </w:rPr>
        <w:t xml:space="preserve">results consistent with Hayes, Lemmon and </w:t>
      </w:r>
      <w:proofErr w:type="spellStart"/>
      <w:r w:rsidR="007B74DB" w:rsidRPr="007B74DB">
        <w:rPr>
          <w:rFonts w:ascii="Times New Roman" w:hAnsi="Times New Roman" w:cs="Times New Roman"/>
        </w:rPr>
        <w:t>Qiu</w:t>
      </w:r>
      <w:proofErr w:type="spellEnd"/>
      <w:r w:rsidR="007B74DB" w:rsidRPr="007B74DB">
        <w:rPr>
          <w:rFonts w:ascii="Times New Roman" w:hAnsi="Times New Roman" w:cs="Times New Roman"/>
        </w:rPr>
        <w:t xml:space="preserve"> (2012)</w:t>
      </w:r>
      <w:r w:rsidR="007B74DB">
        <w:rPr>
          <w:rFonts w:ascii="Times New Roman" w:hAnsi="Times New Roman" w:cs="Times New Roman"/>
        </w:rPr>
        <w:t xml:space="preserve"> when w</w:t>
      </w:r>
      <w:r w:rsidR="007B74DB" w:rsidRPr="007B74DB">
        <w:rPr>
          <w:rFonts w:ascii="Times New Roman" w:hAnsi="Times New Roman" w:cs="Times New Roman"/>
        </w:rPr>
        <w:t xml:space="preserve">e run specifications </w:t>
      </w:r>
      <w:r w:rsidR="004E1AAE" w:rsidRPr="007B74DB">
        <w:rPr>
          <w:rFonts w:ascii="Times New Roman" w:hAnsi="Times New Roman" w:cs="Times New Roman"/>
        </w:rPr>
        <w:t xml:space="preserve">similar </w:t>
      </w:r>
      <w:r w:rsidR="007B74DB" w:rsidRPr="007B74DB">
        <w:rPr>
          <w:rFonts w:ascii="Times New Roman" w:hAnsi="Times New Roman" w:cs="Times New Roman"/>
        </w:rPr>
        <w:t xml:space="preserve">to </w:t>
      </w:r>
      <w:r w:rsidR="007B74DB">
        <w:rPr>
          <w:rFonts w:ascii="Times New Roman" w:hAnsi="Times New Roman" w:cs="Times New Roman"/>
        </w:rPr>
        <w:t>theirs,</w:t>
      </w:r>
      <w:r w:rsidR="00931D54" w:rsidRPr="001E69D3">
        <w:rPr>
          <w:rStyle w:val="FootnoteReference"/>
          <w:rFonts w:ascii="Times New Roman" w:hAnsi="Times New Roman" w:cs="Times New Roman"/>
        </w:rPr>
        <w:footnoteReference w:id="7"/>
      </w:r>
      <w:r w:rsidR="007B74DB">
        <w:rPr>
          <w:rFonts w:ascii="Times New Roman" w:hAnsi="Times New Roman" w:cs="Times New Roman"/>
        </w:rPr>
        <w:t xml:space="preserve"> </w:t>
      </w:r>
      <w:r w:rsidR="00B63285">
        <w:rPr>
          <w:rFonts w:ascii="Times New Roman" w:hAnsi="Times New Roman" w:cs="Times New Roman"/>
        </w:rPr>
        <w:t>our finding of an economically significant causal relation between a reduction in compensation convexity and a reduction in corporate hedging deviates sharply from the overall implication of their study that compensation convexity does not causally affect managerial risk-taking.</w:t>
      </w:r>
      <w:r w:rsidR="00507AF4" w:rsidRPr="001E69D3">
        <w:rPr>
          <w:rFonts w:ascii="Times New Roman" w:hAnsi="Times New Roman" w:cs="Times New Roman"/>
        </w:rPr>
        <w:t xml:space="preserve"> </w:t>
      </w:r>
      <w:r w:rsidR="00507AF4" w:rsidRPr="001E69D3">
        <w:rPr>
          <w:rFonts w:ascii="Times New Roman" w:hAnsi="Times New Roman" w:cs="Times New Roman"/>
          <w:shd w:val="clear" w:color="auto" w:fill="FFFFFF"/>
        </w:rPr>
        <w:t xml:space="preserve">One possible explanation for the disparity in results </w:t>
      </w:r>
      <w:r w:rsidR="004E1AAE">
        <w:rPr>
          <w:rFonts w:ascii="Times New Roman" w:hAnsi="Times New Roman" w:cs="Times New Roman"/>
          <w:shd w:val="clear" w:color="auto" w:fill="FFFFFF"/>
        </w:rPr>
        <w:t xml:space="preserve">between Hayes, Lemmon and </w:t>
      </w:r>
      <w:proofErr w:type="spellStart"/>
      <w:r w:rsidR="004E1AAE">
        <w:rPr>
          <w:rFonts w:ascii="Times New Roman" w:hAnsi="Times New Roman" w:cs="Times New Roman"/>
          <w:shd w:val="clear" w:color="auto" w:fill="FFFFFF"/>
        </w:rPr>
        <w:t>Qiu</w:t>
      </w:r>
      <w:proofErr w:type="spellEnd"/>
      <w:r w:rsidR="004E1AAE">
        <w:rPr>
          <w:rFonts w:ascii="Times New Roman" w:hAnsi="Times New Roman" w:cs="Times New Roman"/>
          <w:shd w:val="clear" w:color="auto" w:fill="FFFFFF"/>
        </w:rPr>
        <w:t xml:space="preserve"> (2012) and our study </w:t>
      </w:r>
      <w:r w:rsidR="00507AF4" w:rsidRPr="001E69D3">
        <w:rPr>
          <w:rFonts w:ascii="Times New Roman" w:hAnsi="Times New Roman" w:cs="Times New Roman"/>
          <w:shd w:val="clear" w:color="auto" w:fill="FFFFFF"/>
        </w:rPr>
        <w:t>is that</w:t>
      </w:r>
      <w:r w:rsidR="00507AF4" w:rsidRPr="001E69D3">
        <w:rPr>
          <w:rFonts w:ascii="Times New Roman" w:hAnsi="Times New Roman" w:cs="Times New Roman"/>
        </w:rPr>
        <w:t xml:space="preserve"> firms can change their hedging policy literally overnight, whereas changes in the financial and investment policies studied by Hayes, Lemmon and </w:t>
      </w:r>
      <w:proofErr w:type="spellStart"/>
      <w:r w:rsidR="00507AF4" w:rsidRPr="001E69D3">
        <w:rPr>
          <w:rFonts w:ascii="Times New Roman" w:hAnsi="Times New Roman" w:cs="Times New Roman"/>
        </w:rPr>
        <w:t>Qiu</w:t>
      </w:r>
      <w:proofErr w:type="spellEnd"/>
      <w:r w:rsidR="00507AF4" w:rsidRPr="001E69D3">
        <w:rPr>
          <w:rFonts w:ascii="Times New Roman" w:hAnsi="Times New Roman" w:cs="Times New Roman"/>
        </w:rPr>
        <w:t xml:space="preserve"> (2012) are likely to take much more time to take effect fully.</w:t>
      </w:r>
      <w:r w:rsidR="00507AF4" w:rsidRPr="001E69D3">
        <w:rPr>
          <w:rStyle w:val="FootnoteReference"/>
          <w:rFonts w:ascii="Times New Roman" w:hAnsi="Times New Roman" w:cs="Times New Roman"/>
        </w:rPr>
        <w:footnoteReference w:id="8"/>
      </w:r>
      <w:r w:rsidR="007852AF" w:rsidRPr="001E69D3">
        <w:rPr>
          <w:rFonts w:ascii="Times New Roman" w:hAnsi="Times New Roman" w:cs="Times New Roman"/>
        </w:rPr>
        <w:t xml:space="preserve"> </w:t>
      </w:r>
    </w:p>
    <w:p w:rsidR="004F109B" w:rsidRPr="001E69D3" w:rsidRDefault="00AB22E7" w:rsidP="009E44F5">
      <w:pPr>
        <w:autoSpaceDE w:val="0"/>
        <w:autoSpaceDN w:val="0"/>
        <w:adjustRightInd w:val="0"/>
        <w:spacing w:after="0" w:line="480" w:lineRule="auto"/>
        <w:ind w:firstLine="720"/>
        <w:jc w:val="both"/>
        <w:rPr>
          <w:rFonts w:ascii="Times New Roman" w:hAnsi="Times New Roman" w:cs="Times New Roman"/>
        </w:rPr>
      </w:pPr>
      <w:r w:rsidRPr="001E69D3">
        <w:rPr>
          <w:rFonts w:ascii="Times New Roman" w:hAnsi="Times New Roman" w:cs="Times New Roman"/>
        </w:rPr>
        <w:t>Our paper is also related to</w:t>
      </w:r>
      <w:r w:rsidR="003A3C8A" w:rsidRPr="001E69D3">
        <w:rPr>
          <w:rFonts w:ascii="Times New Roman" w:hAnsi="Times New Roman" w:cs="Times New Roman"/>
        </w:rPr>
        <w:t xml:space="preserve"> </w:t>
      </w:r>
      <w:proofErr w:type="spellStart"/>
      <w:r w:rsidR="003A3C8A" w:rsidRPr="001E69D3">
        <w:rPr>
          <w:rFonts w:ascii="Times New Roman" w:hAnsi="Times New Roman" w:cs="Times New Roman"/>
        </w:rPr>
        <w:t>Lewellen</w:t>
      </w:r>
      <w:proofErr w:type="spellEnd"/>
      <w:r w:rsidR="003A3C8A" w:rsidRPr="001E69D3">
        <w:rPr>
          <w:rFonts w:ascii="Times New Roman" w:hAnsi="Times New Roman" w:cs="Times New Roman"/>
        </w:rPr>
        <w:t xml:space="preserve"> </w:t>
      </w:r>
      <w:r w:rsidRPr="001E69D3">
        <w:rPr>
          <w:rFonts w:ascii="Times New Roman" w:hAnsi="Times New Roman" w:cs="Times New Roman"/>
        </w:rPr>
        <w:t>(</w:t>
      </w:r>
      <w:r w:rsidR="003A3C8A" w:rsidRPr="001E69D3">
        <w:rPr>
          <w:rFonts w:ascii="Times New Roman" w:hAnsi="Times New Roman" w:cs="Times New Roman"/>
        </w:rPr>
        <w:t xml:space="preserve">2006) </w:t>
      </w:r>
      <w:r w:rsidRPr="001E69D3">
        <w:rPr>
          <w:rFonts w:ascii="Times New Roman" w:hAnsi="Times New Roman" w:cs="Times New Roman"/>
        </w:rPr>
        <w:t xml:space="preserve">who </w:t>
      </w:r>
      <w:r w:rsidR="003A3C8A" w:rsidRPr="001E69D3">
        <w:rPr>
          <w:rFonts w:ascii="Times New Roman" w:hAnsi="Times New Roman" w:cs="Times New Roman"/>
        </w:rPr>
        <w:t>finds evidence of a negative relation between managerial option ownership and debt financing, which would suggest that option ownership causes managers to become more risk averse.</w:t>
      </w:r>
      <w:r w:rsidR="00D05025" w:rsidRPr="001E69D3">
        <w:rPr>
          <w:rFonts w:ascii="Times New Roman" w:hAnsi="Times New Roman" w:cs="Times New Roman"/>
        </w:rPr>
        <w:t xml:space="preserve"> On the other hand, </w:t>
      </w:r>
      <w:proofErr w:type="spellStart"/>
      <w:r w:rsidR="00D05025" w:rsidRPr="001E69D3">
        <w:rPr>
          <w:rFonts w:ascii="Times New Roman" w:hAnsi="Times New Roman" w:cs="Times New Roman"/>
        </w:rPr>
        <w:t>Tufano</w:t>
      </w:r>
      <w:proofErr w:type="spellEnd"/>
      <w:r w:rsidR="00D05025" w:rsidRPr="001E69D3">
        <w:rPr>
          <w:rFonts w:ascii="Times New Roman" w:hAnsi="Times New Roman" w:cs="Times New Roman"/>
        </w:rPr>
        <w:t xml:space="preserve"> (1996), </w:t>
      </w:r>
      <w:r w:rsidR="008F669D" w:rsidRPr="001E69D3">
        <w:rPr>
          <w:rFonts w:ascii="Times New Roman" w:hAnsi="Times New Roman" w:cs="Times New Roman"/>
        </w:rPr>
        <w:t>Knopf, Nam and Thornton (2002) and</w:t>
      </w:r>
      <w:r w:rsidR="00D05025" w:rsidRPr="001E69D3">
        <w:rPr>
          <w:rFonts w:ascii="Times New Roman" w:hAnsi="Times New Roman" w:cs="Times New Roman"/>
        </w:rPr>
        <w:t xml:space="preserve"> </w:t>
      </w:r>
      <w:proofErr w:type="spellStart"/>
      <w:r w:rsidR="00D05025" w:rsidRPr="001E69D3">
        <w:rPr>
          <w:rFonts w:ascii="Times New Roman" w:hAnsi="Times New Roman" w:cs="Times New Roman"/>
        </w:rPr>
        <w:t>Rajgopal</w:t>
      </w:r>
      <w:proofErr w:type="spellEnd"/>
      <w:r w:rsidR="00D05025" w:rsidRPr="001E69D3">
        <w:rPr>
          <w:rFonts w:ascii="Times New Roman" w:hAnsi="Times New Roman" w:cs="Times New Roman"/>
        </w:rPr>
        <w:t xml:space="preserve"> and </w:t>
      </w:r>
      <w:proofErr w:type="spellStart"/>
      <w:r w:rsidR="00FE2E7D">
        <w:rPr>
          <w:rFonts w:ascii="Times New Roman" w:hAnsi="Times New Roman" w:cs="Times New Roman"/>
        </w:rPr>
        <w:t>S</w:t>
      </w:r>
      <w:r w:rsidR="00FE2E7D" w:rsidRPr="001E69D3">
        <w:rPr>
          <w:rFonts w:ascii="Times New Roman" w:hAnsi="Times New Roman" w:cs="Times New Roman"/>
        </w:rPr>
        <w:t>hevlin</w:t>
      </w:r>
      <w:proofErr w:type="spellEnd"/>
      <w:r w:rsidR="00FE2E7D" w:rsidRPr="001E69D3">
        <w:rPr>
          <w:rFonts w:ascii="Times New Roman" w:hAnsi="Times New Roman" w:cs="Times New Roman"/>
        </w:rPr>
        <w:t xml:space="preserve"> </w:t>
      </w:r>
      <w:r w:rsidR="00D05025" w:rsidRPr="001E69D3">
        <w:rPr>
          <w:rFonts w:ascii="Times New Roman" w:hAnsi="Times New Roman" w:cs="Times New Roman"/>
        </w:rPr>
        <w:t>(2002)</w:t>
      </w:r>
      <w:r w:rsidR="008F669D" w:rsidRPr="001E69D3">
        <w:rPr>
          <w:rFonts w:ascii="Times New Roman" w:hAnsi="Times New Roman" w:cs="Times New Roman"/>
        </w:rPr>
        <w:t xml:space="preserve"> </w:t>
      </w:r>
      <w:r w:rsidR="00D05025" w:rsidRPr="001E69D3">
        <w:rPr>
          <w:rFonts w:ascii="Times New Roman" w:hAnsi="Times New Roman" w:cs="Times New Roman"/>
        </w:rPr>
        <w:t xml:space="preserve">provide evidence of a positive relation between the convexity of CEO compensation and </w:t>
      </w:r>
      <w:r w:rsidR="00725723" w:rsidRPr="001E69D3">
        <w:rPr>
          <w:rFonts w:ascii="Times New Roman" w:hAnsi="Times New Roman" w:cs="Times New Roman"/>
        </w:rPr>
        <w:t>corporate risk taking</w:t>
      </w:r>
      <w:r w:rsidR="00D05025" w:rsidRPr="001E69D3">
        <w:rPr>
          <w:rFonts w:ascii="Times New Roman" w:hAnsi="Times New Roman" w:cs="Times New Roman"/>
        </w:rPr>
        <w:t>. However, the</w:t>
      </w:r>
      <w:r w:rsidR="00725723" w:rsidRPr="001E69D3">
        <w:rPr>
          <w:rFonts w:ascii="Times New Roman" w:hAnsi="Times New Roman" w:cs="Times New Roman"/>
        </w:rPr>
        <w:t xml:space="preserve">se </w:t>
      </w:r>
      <w:r w:rsidR="00D05025" w:rsidRPr="001E69D3">
        <w:rPr>
          <w:rFonts w:ascii="Times New Roman" w:hAnsi="Times New Roman" w:cs="Times New Roman"/>
        </w:rPr>
        <w:t xml:space="preserve">studies </w:t>
      </w:r>
      <w:r w:rsidR="00725723" w:rsidRPr="001E69D3">
        <w:rPr>
          <w:rFonts w:ascii="Times New Roman" w:hAnsi="Times New Roman" w:cs="Times New Roman"/>
        </w:rPr>
        <w:t xml:space="preserve">do not establish </w:t>
      </w:r>
      <w:r w:rsidR="00D05025" w:rsidRPr="001E69D3">
        <w:rPr>
          <w:rFonts w:ascii="Times New Roman" w:hAnsi="Times New Roman" w:cs="Times New Roman"/>
        </w:rPr>
        <w:t xml:space="preserve">a </w:t>
      </w:r>
      <w:r w:rsidR="00725723" w:rsidRPr="001E69D3">
        <w:rPr>
          <w:rFonts w:ascii="Times New Roman" w:hAnsi="Times New Roman" w:cs="Times New Roman"/>
        </w:rPr>
        <w:t xml:space="preserve">clear </w:t>
      </w:r>
      <w:r w:rsidR="00D05025" w:rsidRPr="001E69D3">
        <w:rPr>
          <w:rFonts w:ascii="Times New Roman" w:hAnsi="Times New Roman" w:cs="Times New Roman"/>
        </w:rPr>
        <w:t>causal relationship</w:t>
      </w:r>
      <w:r w:rsidR="00725723" w:rsidRPr="001E69D3">
        <w:rPr>
          <w:rFonts w:ascii="Times New Roman" w:hAnsi="Times New Roman" w:cs="Times New Roman"/>
        </w:rPr>
        <w:t xml:space="preserve"> between compensation and risk taking, especially in light of the growing awareness that managerial compensation</w:t>
      </w:r>
      <w:r w:rsidR="00D41446">
        <w:rPr>
          <w:rFonts w:ascii="Times New Roman" w:hAnsi="Times New Roman" w:cs="Times New Roman"/>
        </w:rPr>
        <w:t>,</w:t>
      </w:r>
      <w:r w:rsidR="00725723" w:rsidRPr="001E69D3">
        <w:rPr>
          <w:rFonts w:ascii="Times New Roman" w:hAnsi="Times New Roman" w:cs="Times New Roman"/>
        </w:rPr>
        <w:t xml:space="preserve"> and corporate financing and investment policies</w:t>
      </w:r>
      <w:r w:rsidR="00C13E90">
        <w:rPr>
          <w:rFonts w:ascii="Times New Roman" w:hAnsi="Times New Roman" w:cs="Times New Roman"/>
        </w:rPr>
        <w:t>,</w:t>
      </w:r>
      <w:r w:rsidR="00725723" w:rsidRPr="001E69D3">
        <w:rPr>
          <w:rFonts w:ascii="Times New Roman" w:hAnsi="Times New Roman" w:cs="Times New Roman"/>
        </w:rPr>
        <w:t xml:space="preserve"> are jointly determined</w:t>
      </w:r>
      <w:r w:rsidR="00D05025" w:rsidRPr="001E69D3">
        <w:rPr>
          <w:rFonts w:ascii="Times New Roman" w:hAnsi="Times New Roman" w:cs="Times New Roman"/>
        </w:rPr>
        <w:t>.</w:t>
      </w:r>
      <w:r w:rsidR="008F669D" w:rsidRPr="001E69D3">
        <w:rPr>
          <w:rFonts w:ascii="Times New Roman" w:hAnsi="Times New Roman" w:cs="Times New Roman"/>
        </w:rPr>
        <w:t xml:space="preserve"> T</w:t>
      </w:r>
      <w:r w:rsidR="00C13E90">
        <w:rPr>
          <w:rFonts w:ascii="Times New Roman" w:hAnsi="Times New Roman" w:cs="Times New Roman"/>
        </w:rPr>
        <w:t xml:space="preserve">his </w:t>
      </w:r>
      <w:proofErr w:type="spellStart"/>
      <w:r w:rsidR="00C13E90">
        <w:rPr>
          <w:rFonts w:ascii="Times New Roman" w:hAnsi="Times New Roman" w:cs="Times New Roman"/>
        </w:rPr>
        <w:t>endogeneity</w:t>
      </w:r>
      <w:proofErr w:type="spellEnd"/>
      <w:r w:rsidR="00C13E90">
        <w:rPr>
          <w:rFonts w:ascii="Times New Roman" w:hAnsi="Times New Roman" w:cs="Times New Roman"/>
        </w:rPr>
        <w:t xml:space="preserve"> issue is highlighted especially by </w:t>
      </w:r>
      <w:r w:rsidR="00D05025" w:rsidRPr="001E69D3">
        <w:rPr>
          <w:rFonts w:ascii="Times New Roman" w:hAnsi="Times New Roman" w:cs="Times New Roman"/>
        </w:rPr>
        <w:t>Coles, Daniel and Naveen (2006)</w:t>
      </w:r>
      <w:r w:rsidR="00C13E90">
        <w:rPr>
          <w:rFonts w:ascii="Times New Roman" w:hAnsi="Times New Roman" w:cs="Times New Roman"/>
        </w:rPr>
        <w:t>, who</w:t>
      </w:r>
      <w:r w:rsidR="00D05025" w:rsidRPr="001E69D3">
        <w:rPr>
          <w:rFonts w:ascii="Times New Roman" w:hAnsi="Times New Roman" w:cs="Times New Roman"/>
        </w:rPr>
        <w:t xml:space="preserve"> use simultaneous regressions to show that the causality goes both ways</w:t>
      </w:r>
      <w:r w:rsidR="00C13E90">
        <w:rPr>
          <w:rFonts w:ascii="Times New Roman" w:hAnsi="Times New Roman" w:cs="Times New Roman"/>
        </w:rPr>
        <w:t>, with</w:t>
      </w:r>
      <w:r w:rsidR="00D05025" w:rsidRPr="001E69D3">
        <w:rPr>
          <w:rFonts w:ascii="Times New Roman" w:hAnsi="Times New Roman" w:cs="Times New Roman"/>
        </w:rPr>
        <w:t xml:space="preserve"> investment po</w:t>
      </w:r>
      <w:r w:rsidR="008F669D" w:rsidRPr="001E69D3">
        <w:rPr>
          <w:rFonts w:ascii="Times New Roman" w:hAnsi="Times New Roman" w:cs="Times New Roman"/>
        </w:rPr>
        <w:t>licy, debt policy, and stock price volatility</w:t>
      </w:r>
      <w:r w:rsidR="00D05025" w:rsidRPr="001E69D3">
        <w:rPr>
          <w:rFonts w:ascii="Times New Roman" w:hAnsi="Times New Roman" w:cs="Times New Roman"/>
        </w:rPr>
        <w:t xml:space="preserve"> also affect</w:t>
      </w:r>
      <w:r w:rsidR="00C13E90">
        <w:rPr>
          <w:rFonts w:ascii="Times New Roman" w:hAnsi="Times New Roman" w:cs="Times New Roman"/>
        </w:rPr>
        <w:t>ing</w:t>
      </w:r>
      <w:r w:rsidR="00D05025" w:rsidRPr="001E69D3">
        <w:rPr>
          <w:rFonts w:ascii="Times New Roman" w:hAnsi="Times New Roman" w:cs="Times New Roman"/>
        </w:rPr>
        <w:t xml:space="preserve"> the choice of </w:t>
      </w:r>
      <w:proofErr w:type="spellStart"/>
      <w:proofErr w:type="gramStart"/>
      <w:r w:rsidR="00D05025" w:rsidRPr="001E69D3">
        <w:rPr>
          <w:rFonts w:ascii="Times New Roman" w:hAnsi="Times New Roman" w:cs="Times New Roman"/>
        </w:rPr>
        <w:t>vega</w:t>
      </w:r>
      <w:proofErr w:type="spellEnd"/>
      <w:proofErr w:type="gramEnd"/>
      <w:r w:rsidR="00D05025" w:rsidRPr="001E69D3">
        <w:rPr>
          <w:rFonts w:ascii="Times New Roman" w:hAnsi="Times New Roman" w:cs="Times New Roman"/>
        </w:rPr>
        <w:t xml:space="preserve"> in the managerial compensation scheme</w:t>
      </w:r>
      <w:r w:rsidR="008F669D" w:rsidRPr="001E69D3">
        <w:rPr>
          <w:rFonts w:ascii="Times New Roman" w:hAnsi="Times New Roman" w:cs="Times New Roman"/>
        </w:rPr>
        <w:t>. Th</w:t>
      </w:r>
      <w:r w:rsidR="00D41446">
        <w:rPr>
          <w:rFonts w:ascii="Times New Roman" w:hAnsi="Times New Roman" w:cs="Times New Roman"/>
        </w:rPr>
        <w:t xml:space="preserve">e findings of Coles, Daniel and Naveen (2006) reinforce </w:t>
      </w:r>
      <w:r w:rsidR="008F669D" w:rsidRPr="001E69D3">
        <w:rPr>
          <w:rFonts w:ascii="Times New Roman" w:hAnsi="Times New Roman" w:cs="Times New Roman"/>
        </w:rPr>
        <w:t>the importan</w:t>
      </w:r>
      <w:r w:rsidR="00D41446">
        <w:rPr>
          <w:rFonts w:ascii="Times New Roman" w:hAnsi="Times New Roman" w:cs="Times New Roman"/>
        </w:rPr>
        <w:t>ce</w:t>
      </w:r>
      <w:r w:rsidR="008F669D" w:rsidRPr="001E69D3">
        <w:rPr>
          <w:rFonts w:ascii="Times New Roman" w:hAnsi="Times New Roman" w:cs="Times New Roman"/>
        </w:rPr>
        <w:t xml:space="preserve"> of identifying exogenous changes to be able to tease out causal relationships</w:t>
      </w:r>
      <w:r w:rsidR="00D41446">
        <w:rPr>
          <w:rFonts w:ascii="Times New Roman" w:hAnsi="Times New Roman" w:cs="Times New Roman"/>
        </w:rPr>
        <w:t>, as we do in this study</w:t>
      </w:r>
      <w:r w:rsidR="008F669D" w:rsidRPr="001E69D3">
        <w:rPr>
          <w:rFonts w:ascii="Times New Roman" w:hAnsi="Times New Roman" w:cs="Times New Roman"/>
        </w:rPr>
        <w:t xml:space="preserve">. </w:t>
      </w:r>
    </w:p>
    <w:p w:rsidR="00C04FA5" w:rsidRPr="001E69D3" w:rsidRDefault="00D31AEC" w:rsidP="00565C31">
      <w:pPr>
        <w:autoSpaceDE w:val="0"/>
        <w:autoSpaceDN w:val="0"/>
        <w:adjustRightInd w:val="0"/>
        <w:spacing w:after="120" w:line="480" w:lineRule="auto"/>
        <w:ind w:firstLine="720"/>
        <w:jc w:val="both"/>
        <w:rPr>
          <w:rFonts w:ascii="Times New Roman" w:hAnsi="Times New Roman" w:cs="Times New Roman"/>
        </w:rPr>
      </w:pPr>
      <w:r w:rsidRPr="001E69D3">
        <w:rPr>
          <w:rFonts w:ascii="Times New Roman" w:hAnsi="Times New Roman" w:cs="Times New Roman"/>
        </w:rPr>
        <w:t xml:space="preserve">Our paper </w:t>
      </w:r>
      <w:r w:rsidR="00241513" w:rsidRPr="001E69D3">
        <w:rPr>
          <w:rFonts w:ascii="Times New Roman" w:hAnsi="Times New Roman" w:cs="Times New Roman"/>
        </w:rPr>
        <w:t xml:space="preserve">also </w:t>
      </w:r>
      <w:r w:rsidRPr="001E69D3">
        <w:rPr>
          <w:rFonts w:ascii="Times New Roman" w:hAnsi="Times New Roman" w:cs="Times New Roman"/>
        </w:rPr>
        <w:t>contributes to the larger compensation literature that is interested in exploring</w:t>
      </w:r>
      <w:r w:rsidR="00531057" w:rsidRPr="001E69D3">
        <w:rPr>
          <w:rFonts w:ascii="Times New Roman" w:hAnsi="Times New Roman" w:cs="Times New Roman"/>
        </w:rPr>
        <w:t xml:space="preserve"> </w:t>
      </w:r>
      <w:r w:rsidR="00317382" w:rsidRPr="001E69D3">
        <w:rPr>
          <w:rFonts w:ascii="Times New Roman" w:hAnsi="Times New Roman" w:cs="Times New Roman"/>
        </w:rPr>
        <w:t>whether executive</w:t>
      </w:r>
      <w:r w:rsidRPr="001E69D3">
        <w:rPr>
          <w:rFonts w:ascii="Times New Roman" w:hAnsi="Times New Roman" w:cs="Times New Roman"/>
        </w:rPr>
        <w:t xml:space="preserve"> option pay enhances </w:t>
      </w:r>
      <w:r w:rsidR="00317382" w:rsidRPr="001E69D3">
        <w:rPr>
          <w:rFonts w:ascii="Times New Roman" w:hAnsi="Times New Roman" w:cs="Times New Roman"/>
        </w:rPr>
        <w:t>managers</w:t>
      </w:r>
      <w:r w:rsidR="00531057" w:rsidRPr="001E69D3">
        <w:rPr>
          <w:rFonts w:ascii="Times New Roman" w:hAnsi="Times New Roman" w:cs="Times New Roman"/>
        </w:rPr>
        <w:t>’</w:t>
      </w:r>
      <w:r w:rsidR="00317382" w:rsidRPr="001E69D3">
        <w:rPr>
          <w:rFonts w:ascii="Times New Roman" w:hAnsi="Times New Roman" w:cs="Times New Roman"/>
        </w:rPr>
        <w:t xml:space="preserve"> </w:t>
      </w:r>
      <w:r w:rsidRPr="001E69D3">
        <w:rPr>
          <w:rFonts w:ascii="Times New Roman" w:hAnsi="Times New Roman" w:cs="Times New Roman"/>
        </w:rPr>
        <w:t xml:space="preserve">risk taking incentives. </w:t>
      </w:r>
      <w:r w:rsidR="00317382" w:rsidRPr="001E69D3">
        <w:rPr>
          <w:rFonts w:ascii="Times New Roman" w:hAnsi="Times New Roman" w:cs="Times New Roman"/>
        </w:rPr>
        <w:t xml:space="preserve"> The 1990s experienced</w:t>
      </w:r>
      <w:r w:rsidR="00D72203" w:rsidRPr="001E69D3">
        <w:rPr>
          <w:rFonts w:ascii="Times New Roman" w:hAnsi="Times New Roman" w:cs="Times New Roman"/>
        </w:rPr>
        <w:t xml:space="preserve"> an explosio</w:t>
      </w:r>
      <w:r w:rsidR="00317382" w:rsidRPr="001E69D3">
        <w:rPr>
          <w:rFonts w:ascii="Times New Roman" w:hAnsi="Times New Roman" w:cs="Times New Roman"/>
        </w:rPr>
        <w:t>n in the use of</w:t>
      </w:r>
      <w:r w:rsidR="00D72203" w:rsidRPr="001E69D3">
        <w:rPr>
          <w:rFonts w:ascii="Times New Roman" w:hAnsi="Times New Roman" w:cs="Times New Roman"/>
        </w:rPr>
        <w:t xml:space="preserve"> stock options in executive pay packages (</w:t>
      </w:r>
      <w:r w:rsidR="00FA5F84" w:rsidRPr="001E69D3">
        <w:rPr>
          <w:rFonts w:ascii="Times New Roman" w:hAnsi="Times New Roman" w:cs="Times New Roman"/>
        </w:rPr>
        <w:t xml:space="preserve">see </w:t>
      </w:r>
      <w:r w:rsidR="00D72203" w:rsidRPr="001E69D3">
        <w:rPr>
          <w:rFonts w:ascii="Times New Roman" w:hAnsi="Times New Roman" w:cs="Times New Roman"/>
        </w:rPr>
        <w:t>Murphy</w:t>
      </w:r>
      <w:r w:rsidR="006442E9">
        <w:rPr>
          <w:rFonts w:ascii="Times New Roman" w:hAnsi="Times New Roman" w:cs="Times New Roman"/>
        </w:rPr>
        <w:t xml:space="preserve">, </w:t>
      </w:r>
      <w:r w:rsidR="00D72203" w:rsidRPr="001E69D3">
        <w:rPr>
          <w:rFonts w:ascii="Times New Roman" w:hAnsi="Times New Roman" w:cs="Times New Roman"/>
        </w:rPr>
        <w:t>1999</w:t>
      </w:r>
      <w:r w:rsidR="00FA5F84" w:rsidRPr="001E69D3">
        <w:rPr>
          <w:rFonts w:ascii="Times New Roman" w:hAnsi="Times New Roman" w:cs="Times New Roman"/>
        </w:rPr>
        <w:t>)</w:t>
      </w:r>
      <w:r w:rsidR="00D72203" w:rsidRPr="001E69D3">
        <w:rPr>
          <w:rFonts w:ascii="Times New Roman" w:hAnsi="Times New Roman" w:cs="Times New Roman"/>
        </w:rPr>
        <w:t>, and</w:t>
      </w:r>
      <w:r w:rsidR="00317382" w:rsidRPr="001E69D3">
        <w:rPr>
          <w:rFonts w:ascii="Times New Roman" w:hAnsi="Times New Roman" w:cs="Times New Roman"/>
        </w:rPr>
        <w:t xml:space="preserve"> </w:t>
      </w:r>
      <w:r w:rsidR="00D72203" w:rsidRPr="001E69D3">
        <w:rPr>
          <w:rFonts w:ascii="Times New Roman" w:hAnsi="Times New Roman" w:cs="Times New Roman"/>
        </w:rPr>
        <w:t xml:space="preserve">equity-based pay </w:t>
      </w:r>
      <w:r w:rsidR="00D72203" w:rsidRPr="001E69D3">
        <w:rPr>
          <w:rFonts w:ascii="Times New Roman" w:hAnsi="Times New Roman" w:cs="Times New Roman"/>
        </w:rPr>
        <w:lastRenderedPageBreak/>
        <w:t>has represented a significant proportion of executive</w:t>
      </w:r>
      <w:r w:rsidR="00317382" w:rsidRPr="001E69D3">
        <w:rPr>
          <w:rFonts w:ascii="Times New Roman" w:hAnsi="Times New Roman" w:cs="Times New Roman"/>
        </w:rPr>
        <w:t xml:space="preserve"> </w:t>
      </w:r>
      <w:r w:rsidR="00D72203" w:rsidRPr="001E69D3">
        <w:rPr>
          <w:rFonts w:ascii="Times New Roman" w:hAnsi="Times New Roman" w:cs="Times New Roman"/>
        </w:rPr>
        <w:t>compensation ever since. Option pay as a form of equity-based pay helps to align interests of executives with those of the shareholders to mitigate the agency problems due to the separation of ownership and control in public firms (</w:t>
      </w:r>
      <w:r w:rsidR="00FA5F84" w:rsidRPr="001E69D3">
        <w:rPr>
          <w:rFonts w:ascii="Times New Roman" w:hAnsi="Times New Roman" w:cs="Times New Roman"/>
        </w:rPr>
        <w:t>s</w:t>
      </w:r>
      <w:r w:rsidR="00D72203" w:rsidRPr="001E69D3">
        <w:rPr>
          <w:rFonts w:ascii="Times New Roman" w:hAnsi="Times New Roman" w:cs="Times New Roman"/>
        </w:rPr>
        <w:t xml:space="preserve">ee Jensen and </w:t>
      </w:r>
      <w:proofErr w:type="spellStart"/>
      <w:r w:rsidR="00D72203" w:rsidRPr="001E69D3">
        <w:rPr>
          <w:rFonts w:ascii="Times New Roman" w:hAnsi="Times New Roman" w:cs="Times New Roman"/>
        </w:rPr>
        <w:t>Meckling</w:t>
      </w:r>
      <w:proofErr w:type="spellEnd"/>
      <w:r w:rsidR="006442E9">
        <w:rPr>
          <w:rFonts w:ascii="Times New Roman" w:hAnsi="Times New Roman" w:cs="Times New Roman"/>
        </w:rPr>
        <w:t xml:space="preserve">, </w:t>
      </w:r>
      <w:r w:rsidR="00D72203" w:rsidRPr="001E69D3">
        <w:rPr>
          <w:rFonts w:ascii="Times New Roman" w:hAnsi="Times New Roman" w:cs="Times New Roman"/>
        </w:rPr>
        <w:t>1976</w:t>
      </w:r>
      <w:r w:rsidR="00FA5F84" w:rsidRPr="001E69D3">
        <w:rPr>
          <w:rFonts w:ascii="Times New Roman" w:hAnsi="Times New Roman" w:cs="Times New Roman"/>
        </w:rPr>
        <w:t>).</w:t>
      </w:r>
      <w:r w:rsidR="00317382" w:rsidRPr="001E69D3">
        <w:rPr>
          <w:rFonts w:ascii="Times New Roman" w:hAnsi="Times New Roman" w:cs="Times New Roman"/>
        </w:rPr>
        <w:t xml:space="preserve"> </w:t>
      </w:r>
      <w:r w:rsidR="00D72203" w:rsidRPr="001E69D3">
        <w:rPr>
          <w:rFonts w:ascii="Times New Roman" w:hAnsi="Times New Roman" w:cs="Times New Roman"/>
        </w:rPr>
        <w:t xml:space="preserve">However, there are also some </w:t>
      </w:r>
      <w:r w:rsidR="00317382" w:rsidRPr="001E69D3">
        <w:rPr>
          <w:rFonts w:ascii="Times New Roman" w:hAnsi="Times New Roman" w:cs="Times New Roman"/>
        </w:rPr>
        <w:t>undesirable</w:t>
      </w:r>
      <w:r w:rsidR="00D72203" w:rsidRPr="001E69D3">
        <w:rPr>
          <w:rFonts w:ascii="Times New Roman" w:hAnsi="Times New Roman" w:cs="Times New Roman"/>
        </w:rPr>
        <w:t xml:space="preserve"> outcomes associated with option pay. Executives who </w:t>
      </w:r>
      <w:r w:rsidR="00317382" w:rsidRPr="001E69D3">
        <w:rPr>
          <w:rFonts w:ascii="Times New Roman" w:hAnsi="Times New Roman" w:cs="Times New Roman"/>
        </w:rPr>
        <w:t>receive</w:t>
      </w:r>
      <w:r w:rsidR="00D72203" w:rsidRPr="001E69D3">
        <w:rPr>
          <w:rFonts w:ascii="Times New Roman" w:hAnsi="Times New Roman" w:cs="Times New Roman"/>
        </w:rPr>
        <w:t xml:space="preserve"> large option </w:t>
      </w:r>
      <w:r w:rsidR="00FC480B" w:rsidRPr="001E69D3">
        <w:rPr>
          <w:rFonts w:ascii="Times New Roman" w:hAnsi="Times New Roman" w:cs="Times New Roman"/>
        </w:rPr>
        <w:t>grants may</w:t>
      </w:r>
      <w:r w:rsidR="00D72203" w:rsidRPr="001E69D3">
        <w:rPr>
          <w:rFonts w:ascii="Times New Roman" w:hAnsi="Times New Roman" w:cs="Times New Roman"/>
        </w:rPr>
        <w:t xml:space="preserve"> also develop symptoms of managerial myopia and </w:t>
      </w:r>
      <w:r w:rsidR="00317382" w:rsidRPr="001E69D3">
        <w:rPr>
          <w:rFonts w:ascii="Times New Roman" w:hAnsi="Times New Roman" w:cs="Times New Roman"/>
        </w:rPr>
        <w:t xml:space="preserve">participate in </w:t>
      </w:r>
      <w:r w:rsidR="0061441F" w:rsidRPr="001E69D3">
        <w:rPr>
          <w:rFonts w:ascii="Times New Roman" w:hAnsi="Times New Roman" w:cs="Times New Roman"/>
        </w:rPr>
        <w:t>accounting fraud.</w:t>
      </w:r>
      <w:r w:rsidR="00317382" w:rsidRPr="001E69D3">
        <w:rPr>
          <w:rStyle w:val="FootnoteReference"/>
          <w:rFonts w:ascii="Times New Roman" w:hAnsi="Times New Roman" w:cs="Times New Roman"/>
        </w:rPr>
        <w:footnoteReference w:id="9"/>
      </w:r>
      <w:r w:rsidR="00317382" w:rsidRPr="001E69D3">
        <w:rPr>
          <w:rFonts w:ascii="Times New Roman" w:hAnsi="Times New Roman" w:cs="Times New Roman"/>
        </w:rPr>
        <w:t xml:space="preserve"> </w:t>
      </w:r>
    </w:p>
    <w:p w:rsidR="00AF07C6" w:rsidRPr="001E69D3" w:rsidRDefault="0061441F" w:rsidP="00565C31">
      <w:pPr>
        <w:autoSpaceDE w:val="0"/>
        <w:autoSpaceDN w:val="0"/>
        <w:adjustRightInd w:val="0"/>
        <w:spacing w:after="120" w:line="480" w:lineRule="auto"/>
        <w:ind w:firstLine="720"/>
        <w:jc w:val="both"/>
        <w:rPr>
          <w:rFonts w:ascii="Times New Roman" w:hAnsi="Times New Roman" w:cs="Times New Roman"/>
        </w:rPr>
      </w:pPr>
      <w:r w:rsidRPr="001E69D3">
        <w:rPr>
          <w:rFonts w:ascii="Times New Roman" w:hAnsi="Times New Roman" w:cs="Times New Roman"/>
        </w:rPr>
        <w:t>Another potential concern about the</w:t>
      </w:r>
      <w:r w:rsidR="00317382" w:rsidRPr="001E69D3">
        <w:rPr>
          <w:rFonts w:ascii="Times New Roman" w:hAnsi="Times New Roman" w:cs="Times New Roman"/>
        </w:rPr>
        <w:t xml:space="preserve"> </w:t>
      </w:r>
      <w:r w:rsidRPr="001E69D3">
        <w:rPr>
          <w:rFonts w:ascii="Times New Roman" w:hAnsi="Times New Roman" w:cs="Times New Roman"/>
        </w:rPr>
        <w:t xml:space="preserve">incentives provided by stock options </w:t>
      </w:r>
      <w:r w:rsidR="00D41446">
        <w:rPr>
          <w:rFonts w:ascii="Times New Roman" w:hAnsi="Times New Roman" w:cs="Times New Roman"/>
        </w:rPr>
        <w:t xml:space="preserve">pertains to </w:t>
      </w:r>
      <w:r w:rsidR="00FC480B" w:rsidRPr="001E69D3">
        <w:rPr>
          <w:rFonts w:ascii="Times New Roman" w:hAnsi="Times New Roman" w:cs="Times New Roman"/>
        </w:rPr>
        <w:t>whether</w:t>
      </w:r>
      <w:r w:rsidR="00241513" w:rsidRPr="001E69D3">
        <w:rPr>
          <w:rFonts w:ascii="Times New Roman" w:hAnsi="Times New Roman" w:cs="Times New Roman"/>
        </w:rPr>
        <w:t xml:space="preserve"> </w:t>
      </w:r>
      <w:r w:rsidRPr="001E69D3">
        <w:rPr>
          <w:rFonts w:ascii="Times New Roman" w:hAnsi="Times New Roman" w:cs="Times New Roman"/>
        </w:rPr>
        <w:t>they induce risk taking by managers beyond the level desirable</w:t>
      </w:r>
      <w:r w:rsidR="00241513" w:rsidRPr="001E69D3">
        <w:rPr>
          <w:rFonts w:ascii="Times New Roman" w:hAnsi="Times New Roman" w:cs="Times New Roman"/>
        </w:rPr>
        <w:t xml:space="preserve"> </w:t>
      </w:r>
      <w:r w:rsidRPr="001E69D3">
        <w:rPr>
          <w:rFonts w:ascii="Times New Roman" w:hAnsi="Times New Roman" w:cs="Times New Roman"/>
        </w:rPr>
        <w:t>for shareholders.</w:t>
      </w:r>
      <w:r w:rsidR="0066086E" w:rsidRPr="001E69D3">
        <w:rPr>
          <w:rFonts w:ascii="Times New Roman" w:hAnsi="Times New Roman" w:cs="Times New Roman"/>
        </w:rPr>
        <w:t xml:space="preserve"> Options are granted to managers because</w:t>
      </w:r>
      <w:r w:rsidR="00D41446">
        <w:rPr>
          <w:rFonts w:ascii="Times New Roman" w:hAnsi="Times New Roman" w:cs="Times New Roman"/>
        </w:rPr>
        <w:t>,</w:t>
      </w:r>
      <w:r w:rsidR="0066086E" w:rsidRPr="001E69D3">
        <w:rPr>
          <w:rFonts w:ascii="Times New Roman" w:hAnsi="Times New Roman" w:cs="Times New Roman"/>
        </w:rPr>
        <w:t xml:space="preserve"> unlike diversified</w:t>
      </w:r>
      <w:r w:rsidR="00241513" w:rsidRPr="001E69D3">
        <w:rPr>
          <w:rFonts w:ascii="Times New Roman" w:hAnsi="Times New Roman" w:cs="Times New Roman"/>
        </w:rPr>
        <w:t xml:space="preserve"> </w:t>
      </w:r>
      <w:r w:rsidR="0066086E" w:rsidRPr="001E69D3">
        <w:rPr>
          <w:rFonts w:ascii="Times New Roman" w:hAnsi="Times New Roman" w:cs="Times New Roman"/>
        </w:rPr>
        <w:t xml:space="preserve">shareholders, </w:t>
      </w:r>
      <w:r w:rsidR="00FC480B" w:rsidRPr="001E69D3">
        <w:rPr>
          <w:rFonts w:ascii="Times New Roman" w:hAnsi="Times New Roman" w:cs="Times New Roman"/>
        </w:rPr>
        <w:t>their undiversified</w:t>
      </w:r>
      <w:r w:rsidR="0066086E" w:rsidRPr="001E69D3">
        <w:rPr>
          <w:rFonts w:ascii="Times New Roman" w:hAnsi="Times New Roman" w:cs="Times New Roman"/>
        </w:rPr>
        <w:t xml:space="preserve"> wealth portfolios and firm-specific human capital</w:t>
      </w:r>
      <w:r w:rsidR="00D41446">
        <w:rPr>
          <w:rFonts w:ascii="Times New Roman" w:hAnsi="Times New Roman" w:cs="Times New Roman"/>
        </w:rPr>
        <w:t xml:space="preserve"> can make</w:t>
      </w:r>
      <w:r w:rsidR="0066086E" w:rsidRPr="001E69D3">
        <w:rPr>
          <w:rFonts w:ascii="Times New Roman" w:hAnsi="Times New Roman" w:cs="Times New Roman"/>
        </w:rPr>
        <w:t xml:space="preserve"> managers risk averse</w:t>
      </w:r>
      <w:r w:rsidR="00D41446">
        <w:rPr>
          <w:rFonts w:ascii="Times New Roman" w:hAnsi="Times New Roman" w:cs="Times New Roman"/>
        </w:rPr>
        <w:t>, leading them to</w:t>
      </w:r>
      <w:r w:rsidR="00AF07C6" w:rsidRPr="001E69D3">
        <w:rPr>
          <w:rFonts w:ascii="Times New Roman" w:hAnsi="Times New Roman" w:cs="Times New Roman"/>
        </w:rPr>
        <w:t xml:space="preserve"> forgo </w:t>
      </w:r>
      <w:r w:rsidR="00D41446">
        <w:rPr>
          <w:rFonts w:ascii="Times New Roman" w:hAnsi="Times New Roman" w:cs="Times New Roman"/>
        </w:rPr>
        <w:t xml:space="preserve">risky </w:t>
      </w:r>
      <w:r w:rsidR="00AF07C6" w:rsidRPr="001E69D3">
        <w:rPr>
          <w:rFonts w:ascii="Times New Roman" w:hAnsi="Times New Roman" w:cs="Times New Roman"/>
        </w:rPr>
        <w:t>positive net present value (NPV) projects. The convex payoff of stock options is supposed to provide managers with incentives to take more risk. While there is some evidence that managers do appear to respond to such incentives (</w:t>
      </w:r>
      <w:r w:rsidR="00FA5F84" w:rsidRPr="001E69D3">
        <w:rPr>
          <w:rFonts w:ascii="Times New Roman" w:hAnsi="Times New Roman" w:cs="Times New Roman"/>
        </w:rPr>
        <w:t>s</w:t>
      </w:r>
      <w:r w:rsidR="00AF07C6" w:rsidRPr="001E69D3">
        <w:rPr>
          <w:rFonts w:ascii="Times New Roman" w:hAnsi="Times New Roman" w:cs="Times New Roman"/>
        </w:rPr>
        <w:t>ee</w:t>
      </w:r>
      <w:r w:rsidR="00D41446">
        <w:rPr>
          <w:rFonts w:ascii="Times New Roman" w:hAnsi="Times New Roman" w:cs="Times New Roman"/>
        </w:rPr>
        <w:t>, e.g.,</w:t>
      </w:r>
      <w:r w:rsidR="00AF07C6" w:rsidRPr="001E69D3">
        <w:rPr>
          <w:rFonts w:ascii="Times New Roman" w:hAnsi="Times New Roman" w:cs="Times New Roman"/>
        </w:rPr>
        <w:t xml:space="preserve"> </w:t>
      </w:r>
      <w:proofErr w:type="spellStart"/>
      <w:r w:rsidR="00D31AEC" w:rsidRPr="001E69D3">
        <w:rPr>
          <w:rFonts w:ascii="Times New Roman" w:hAnsi="Times New Roman" w:cs="Times New Roman"/>
        </w:rPr>
        <w:t>Guay</w:t>
      </w:r>
      <w:proofErr w:type="spellEnd"/>
      <w:r w:rsidR="006442E9">
        <w:rPr>
          <w:rFonts w:ascii="Times New Roman" w:hAnsi="Times New Roman" w:cs="Times New Roman"/>
        </w:rPr>
        <w:t>,</w:t>
      </w:r>
      <w:r w:rsidR="00D31AEC" w:rsidRPr="001E69D3">
        <w:rPr>
          <w:rFonts w:ascii="Times New Roman" w:hAnsi="Times New Roman" w:cs="Times New Roman"/>
        </w:rPr>
        <w:t xml:space="preserve"> 199</w:t>
      </w:r>
      <w:r w:rsidR="00FA5F84" w:rsidRPr="001E69D3">
        <w:rPr>
          <w:rFonts w:ascii="Times New Roman" w:hAnsi="Times New Roman" w:cs="Times New Roman"/>
        </w:rPr>
        <w:t>9</w:t>
      </w:r>
      <w:r w:rsidR="00D31AEC" w:rsidRPr="001E69D3">
        <w:rPr>
          <w:rFonts w:ascii="Times New Roman" w:hAnsi="Times New Roman" w:cs="Times New Roman"/>
        </w:rPr>
        <w:t>; Cohen et al.</w:t>
      </w:r>
      <w:r w:rsidR="006442E9">
        <w:rPr>
          <w:rFonts w:ascii="Times New Roman" w:hAnsi="Times New Roman" w:cs="Times New Roman"/>
        </w:rPr>
        <w:t>,</w:t>
      </w:r>
      <w:r w:rsidR="00FA5F84" w:rsidRPr="001E69D3">
        <w:rPr>
          <w:rFonts w:ascii="Times New Roman" w:hAnsi="Times New Roman" w:cs="Times New Roman"/>
        </w:rPr>
        <w:t xml:space="preserve"> </w:t>
      </w:r>
      <w:r w:rsidR="00D31AEC" w:rsidRPr="001E69D3">
        <w:rPr>
          <w:rFonts w:ascii="Times New Roman" w:hAnsi="Times New Roman" w:cs="Times New Roman"/>
        </w:rPr>
        <w:t>2000; Knopf et al.</w:t>
      </w:r>
      <w:r w:rsidR="006442E9">
        <w:rPr>
          <w:rFonts w:ascii="Times New Roman" w:hAnsi="Times New Roman" w:cs="Times New Roman"/>
        </w:rPr>
        <w:t>,</w:t>
      </w:r>
      <w:r w:rsidR="00D31AEC" w:rsidRPr="001E69D3">
        <w:rPr>
          <w:rFonts w:ascii="Times New Roman" w:hAnsi="Times New Roman" w:cs="Times New Roman"/>
        </w:rPr>
        <w:t xml:space="preserve"> 2002; </w:t>
      </w:r>
      <w:proofErr w:type="spellStart"/>
      <w:r w:rsidR="00D31AEC" w:rsidRPr="001E69D3">
        <w:rPr>
          <w:rFonts w:ascii="Times New Roman" w:hAnsi="Times New Roman" w:cs="Times New Roman"/>
        </w:rPr>
        <w:t>Rajgopal</w:t>
      </w:r>
      <w:proofErr w:type="spellEnd"/>
      <w:r w:rsidR="00D31AEC" w:rsidRPr="001E69D3">
        <w:rPr>
          <w:rFonts w:ascii="Times New Roman" w:hAnsi="Times New Roman" w:cs="Times New Roman"/>
        </w:rPr>
        <w:t xml:space="preserve"> and</w:t>
      </w:r>
      <w:r w:rsidR="00241513" w:rsidRPr="001E69D3">
        <w:rPr>
          <w:rFonts w:ascii="Times New Roman" w:hAnsi="Times New Roman" w:cs="Times New Roman"/>
        </w:rPr>
        <w:t xml:space="preserve"> </w:t>
      </w:r>
      <w:proofErr w:type="spellStart"/>
      <w:r w:rsidR="00D31AEC" w:rsidRPr="001E69D3">
        <w:rPr>
          <w:rFonts w:ascii="Times New Roman" w:hAnsi="Times New Roman" w:cs="Times New Roman"/>
        </w:rPr>
        <w:t>Shevlin</w:t>
      </w:r>
      <w:proofErr w:type="spellEnd"/>
      <w:r w:rsidR="006442E9">
        <w:rPr>
          <w:rFonts w:ascii="Times New Roman" w:hAnsi="Times New Roman" w:cs="Times New Roman"/>
        </w:rPr>
        <w:t>,</w:t>
      </w:r>
      <w:r w:rsidR="00FA5F84" w:rsidRPr="001E69D3">
        <w:rPr>
          <w:rFonts w:ascii="Times New Roman" w:hAnsi="Times New Roman" w:cs="Times New Roman"/>
        </w:rPr>
        <w:t xml:space="preserve"> </w:t>
      </w:r>
      <w:r w:rsidR="00D31AEC" w:rsidRPr="001E69D3">
        <w:rPr>
          <w:rFonts w:ascii="Times New Roman" w:hAnsi="Times New Roman" w:cs="Times New Roman"/>
        </w:rPr>
        <w:t>2002; Chen et al.</w:t>
      </w:r>
      <w:r w:rsidR="006442E9">
        <w:rPr>
          <w:rFonts w:ascii="Times New Roman" w:hAnsi="Times New Roman" w:cs="Times New Roman"/>
        </w:rPr>
        <w:t>,</w:t>
      </w:r>
      <w:r w:rsidR="00D31AEC" w:rsidRPr="001E69D3">
        <w:rPr>
          <w:rFonts w:ascii="Times New Roman" w:hAnsi="Times New Roman" w:cs="Times New Roman"/>
        </w:rPr>
        <w:t xml:space="preserve"> 2006; Coles et al.</w:t>
      </w:r>
      <w:r w:rsidR="006442E9">
        <w:rPr>
          <w:rFonts w:ascii="Times New Roman" w:hAnsi="Times New Roman" w:cs="Times New Roman"/>
        </w:rPr>
        <w:t>,</w:t>
      </w:r>
      <w:r w:rsidR="00FA5F84" w:rsidRPr="001E69D3">
        <w:rPr>
          <w:rFonts w:ascii="Times New Roman" w:hAnsi="Times New Roman" w:cs="Times New Roman"/>
        </w:rPr>
        <w:t xml:space="preserve"> </w:t>
      </w:r>
      <w:r w:rsidR="00D31AEC" w:rsidRPr="001E69D3">
        <w:rPr>
          <w:rFonts w:ascii="Times New Roman" w:hAnsi="Times New Roman" w:cs="Times New Roman"/>
        </w:rPr>
        <w:t xml:space="preserve">2006; </w:t>
      </w:r>
      <w:r w:rsidR="00D41446" w:rsidRPr="001E69D3">
        <w:rPr>
          <w:rFonts w:ascii="Times New Roman" w:hAnsi="Times New Roman" w:cs="Times New Roman"/>
        </w:rPr>
        <w:t>Brockman et al</w:t>
      </w:r>
      <w:r w:rsidR="006442E9" w:rsidRPr="001E69D3">
        <w:rPr>
          <w:rFonts w:ascii="Times New Roman" w:hAnsi="Times New Roman" w:cs="Times New Roman"/>
        </w:rPr>
        <w:t>.</w:t>
      </w:r>
      <w:r w:rsidR="006442E9">
        <w:rPr>
          <w:rFonts w:ascii="Times New Roman" w:hAnsi="Times New Roman" w:cs="Times New Roman"/>
        </w:rPr>
        <w:t xml:space="preserve">, </w:t>
      </w:r>
      <w:r w:rsidR="00D41446" w:rsidRPr="001E69D3">
        <w:rPr>
          <w:rFonts w:ascii="Times New Roman" w:hAnsi="Times New Roman" w:cs="Times New Roman"/>
        </w:rPr>
        <w:t>2009</w:t>
      </w:r>
      <w:r w:rsidR="00D41446">
        <w:rPr>
          <w:rFonts w:ascii="Times New Roman" w:hAnsi="Times New Roman" w:cs="Times New Roman"/>
        </w:rPr>
        <w:t xml:space="preserve">; </w:t>
      </w:r>
      <w:r w:rsidR="00246D3C" w:rsidRPr="001E69D3">
        <w:rPr>
          <w:rFonts w:ascii="Times New Roman" w:hAnsi="Times New Roman" w:cs="Times New Roman"/>
        </w:rPr>
        <w:t>Dong et</w:t>
      </w:r>
      <w:r w:rsidR="00FE2E7D">
        <w:rPr>
          <w:rFonts w:ascii="Times New Roman" w:hAnsi="Times New Roman" w:cs="Times New Roman"/>
        </w:rPr>
        <w:t xml:space="preserve"> </w:t>
      </w:r>
      <w:r w:rsidR="00246D3C" w:rsidRPr="001E69D3">
        <w:rPr>
          <w:rFonts w:ascii="Times New Roman" w:hAnsi="Times New Roman" w:cs="Times New Roman"/>
        </w:rPr>
        <w:t>al</w:t>
      </w:r>
      <w:r w:rsidR="00FE2E7D">
        <w:rPr>
          <w:rFonts w:ascii="Times New Roman" w:hAnsi="Times New Roman" w:cs="Times New Roman"/>
        </w:rPr>
        <w:t>.</w:t>
      </w:r>
      <w:r w:rsidR="006442E9">
        <w:rPr>
          <w:rFonts w:ascii="Times New Roman" w:hAnsi="Times New Roman" w:cs="Times New Roman"/>
        </w:rPr>
        <w:t>,</w:t>
      </w:r>
      <w:r w:rsidR="00FA5F84" w:rsidRPr="001E69D3">
        <w:rPr>
          <w:rFonts w:ascii="Times New Roman" w:hAnsi="Times New Roman" w:cs="Times New Roman"/>
        </w:rPr>
        <w:t xml:space="preserve"> </w:t>
      </w:r>
      <w:r w:rsidR="00246D3C" w:rsidRPr="001E69D3">
        <w:rPr>
          <w:rFonts w:ascii="Times New Roman" w:hAnsi="Times New Roman" w:cs="Times New Roman"/>
        </w:rPr>
        <w:t>2010</w:t>
      </w:r>
      <w:r w:rsidR="00FA5F84" w:rsidRPr="001E69D3">
        <w:rPr>
          <w:rFonts w:ascii="Times New Roman" w:hAnsi="Times New Roman" w:cs="Times New Roman"/>
        </w:rPr>
        <w:t>)</w:t>
      </w:r>
      <w:r w:rsidR="00AF07C6" w:rsidRPr="001E69D3">
        <w:rPr>
          <w:rFonts w:ascii="Times New Roman" w:hAnsi="Times New Roman" w:cs="Times New Roman"/>
        </w:rPr>
        <w:t xml:space="preserve">, the theoretical literature on this issue is </w:t>
      </w:r>
      <w:r w:rsidR="00241513" w:rsidRPr="001E69D3">
        <w:rPr>
          <w:rFonts w:ascii="Times New Roman" w:hAnsi="Times New Roman" w:cs="Times New Roman"/>
        </w:rPr>
        <w:t>inconclusive</w:t>
      </w:r>
      <w:r w:rsidR="00D41446">
        <w:rPr>
          <w:rFonts w:ascii="Times New Roman" w:hAnsi="Times New Roman" w:cs="Times New Roman"/>
        </w:rPr>
        <w:t>.</w:t>
      </w:r>
      <w:r w:rsidR="00AF07C6" w:rsidRPr="001E69D3">
        <w:rPr>
          <w:rFonts w:ascii="Times New Roman" w:hAnsi="Times New Roman" w:cs="Times New Roman"/>
        </w:rPr>
        <w:t xml:space="preserve"> </w:t>
      </w:r>
      <w:r w:rsidR="00D41446">
        <w:rPr>
          <w:rFonts w:ascii="Times New Roman" w:hAnsi="Times New Roman" w:cs="Times New Roman"/>
        </w:rPr>
        <w:t>W</w:t>
      </w:r>
      <w:r w:rsidR="00AF07C6" w:rsidRPr="001E69D3">
        <w:rPr>
          <w:rFonts w:ascii="Times New Roman" w:hAnsi="Times New Roman" w:cs="Times New Roman"/>
        </w:rPr>
        <w:t>hether stock options can</w:t>
      </w:r>
      <w:r w:rsidR="00241513" w:rsidRPr="001E69D3">
        <w:rPr>
          <w:rFonts w:ascii="Times New Roman" w:hAnsi="Times New Roman" w:cs="Times New Roman"/>
        </w:rPr>
        <w:t xml:space="preserve"> </w:t>
      </w:r>
      <w:r w:rsidR="00AF07C6" w:rsidRPr="001E69D3">
        <w:rPr>
          <w:rFonts w:ascii="Times New Roman" w:hAnsi="Times New Roman" w:cs="Times New Roman"/>
        </w:rPr>
        <w:t>induce more risk taking depends on characteristics of options (</w:t>
      </w:r>
      <w:proofErr w:type="spellStart"/>
      <w:r w:rsidR="00AF07C6" w:rsidRPr="001E69D3">
        <w:rPr>
          <w:rFonts w:ascii="Times New Roman" w:hAnsi="Times New Roman" w:cs="Times New Roman"/>
        </w:rPr>
        <w:t>moneyness</w:t>
      </w:r>
      <w:proofErr w:type="spellEnd"/>
      <w:r w:rsidR="00AF07C6" w:rsidRPr="001E69D3">
        <w:rPr>
          <w:rFonts w:ascii="Times New Roman" w:hAnsi="Times New Roman" w:cs="Times New Roman"/>
        </w:rPr>
        <w:t>) and the</w:t>
      </w:r>
      <w:r w:rsidR="00241513" w:rsidRPr="001E69D3">
        <w:rPr>
          <w:rFonts w:ascii="Times New Roman" w:hAnsi="Times New Roman" w:cs="Times New Roman"/>
        </w:rPr>
        <w:t xml:space="preserve"> </w:t>
      </w:r>
      <w:r w:rsidR="00AF07C6" w:rsidRPr="001E69D3">
        <w:rPr>
          <w:rFonts w:ascii="Times New Roman" w:hAnsi="Times New Roman" w:cs="Times New Roman"/>
        </w:rPr>
        <w:t>utility function, risk aversion, and outside wealth of managers (see, e.g., Lambert</w:t>
      </w:r>
      <w:r w:rsidR="00241513" w:rsidRPr="001E69D3">
        <w:rPr>
          <w:rFonts w:ascii="Times New Roman" w:hAnsi="Times New Roman" w:cs="Times New Roman"/>
        </w:rPr>
        <w:t xml:space="preserve"> </w:t>
      </w:r>
      <w:r w:rsidR="00AF07C6" w:rsidRPr="001E69D3">
        <w:rPr>
          <w:rFonts w:ascii="Times New Roman" w:hAnsi="Times New Roman" w:cs="Times New Roman"/>
        </w:rPr>
        <w:t>et al.</w:t>
      </w:r>
      <w:r w:rsidR="006442E9">
        <w:rPr>
          <w:rFonts w:ascii="Times New Roman" w:hAnsi="Times New Roman" w:cs="Times New Roman"/>
        </w:rPr>
        <w:t>,</w:t>
      </w:r>
      <w:r w:rsidR="00FA5F84" w:rsidRPr="001E69D3">
        <w:rPr>
          <w:rFonts w:ascii="Times New Roman" w:hAnsi="Times New Roman" w:cs="Times New Roman"/>
        </w:rPr>
        <w:t xml:space="preserve"> </w:t>
      </w:r>
      <w:r w:rsidR="00AF07C6" w:rsidRPr="001E69D3">
        <w:rPr>
          <w:rFonts w:ascii="Times New Roman" w:hAnsi="Times New Roman" w:cs="Times New Roman"/>
        </w:rPr>
        <w:t>1991; Carpenter</w:t>
      </w:r>
      <w:r w:rsidR="006442E9">
        <w:rPr>
          <w:rFonts w:ascii="Times New Roman" w:hAnsi="Times New Roman" w:cs="Times New Roman"/>
        </w:rPr>
        <w:t>,</w:t>
      </w:r>
      <w:r w:rsidR="00FA5F84" w:rsidRPr="001E69D3">
        <w:rPr>
          <w:rFonts w:ascii="Times New Roman" w:hAnsi="Times New Roman" w:cs="Times New Roman"/>
        </w:rPr>
        <w:t xml:space="preserve"> </w:t>
      </w:r>
      <w:r w:rsidR="00AF07C6" w:rsidRPr="001E69D3">
        <w:rPr>
          <w:rFonts w:ascii="Times New Roman" w:hAnsi="Times New Roman" w:cs="Times New Roman"/>
        </w:rPr>
        <w:t xml:space="preserve">2000; </w:t>
      </w:r>
      <w:proofErr w:type="spellStart"/>
      <w:r w:rsidR="00AF07C6" w:rsidRPr="001E69D3">
        <w:rPr>
          <w:rFonts w:ascii="Times New Roman" w:hAnsi="Times New Roman" w:cs="Times New Roman"/>
        </w:rPr>
        <w:t>Ju</w:t>
      </w:r>
      <w:proofErr w:type="spellEnd"/>
      <w:r w:rsidR="00AF07C6" w:rsidRPr="001E69D3">
        <w:rPr>
          <w:rFonts w:ascii="Times New Roman" w:hAnsi="Times New Roman" w:cs="Times New Roman"/>
        </w:rPr>
        <w:t xml:space="preserve"> et al.</w:t>
      </w:r>
      <w:r w:rsidR="006442E9">
        <w:rPr>
          <w:rFonts w:ascii="Times New Roman" w:hAnsi="Times New Roman" w:cs="Times New Roman"/>
        </w:rPr>
        <w:t>,</w:t>
      </w:r>
      <w:r w:rsidR="00FA5F84" w:rsidRPr="001E69D3">
        <w:rPr>
          <w:rFonts w:ascii="Times New Roman" w:hAnsi="Times New Roman" w:cs="Times New Roman"/>
        </w:rPr>
        <w:t xml:space="preserve"> </w:t>
      </w:r>
      <w:r w:rsidR="00AF07C6" w:rsidRPr="001E69D3">
        <w:rPr>
          <w:rFonts w:ascii="Times New Roman" w:hAnsi="Times New Roman" w:cs="Times New Roman"/>
        </w:rPr>
        <w:t>2003; Ross</w:t>
      </w:r>
      <w:r w:rsidR="006442E9">
        <w:rPr>
          <w:rFonts w:ascii="Times New Roman" w:hAnsi="Times New Roman" w:cs="Times New Roman"/>
        </w:rPr>
        <w:t xml:space="preserve">, </w:t>
      </w:r>
      <w:r w:rsidR="00AF07C6" w:rsidRPr="001E69D3">
        <w:rPr>
          <w:rFonts w:ascii="Times New Roman" w:hAnsi="Times New Roman" w:cs="Times New Roman"/>
        </w:rPr>
        <w:t>2004; Tian</w:t>
      </w:r>
      <w:r w:rsidR="006442E9">
        <w:rPr>
          <w:rFonts w:ascii="Times New Roman" w:hAnsi="Times New Roman" w:cs="Times New Roman"/>
        </w:rPr>
        <w:t>,</w:t>
      </w:r>
      <w:r w:rsidR="00FA5F84" w:rsidRPr="001E69D3">
        <w:rPr>
          <w:rFonts w:ascii="Times New Roman" w:hAnsi="Times New Roman" w:cs="Times New Roman"/>
        </w:rPr>
        <w:t xml:space="preserve"> </w:t>
      </w:r>
      <w:r w:rsidR="00AF07C6" w:rsidRPr="001E69D3">
        <w:rPr>
          <w:rFonts w:ascii="Times New Roman" w:hAnsi="Times New Roman" w:cs="Times New Roman"/>
        </w:rPr>
        <w:t xml:space="preserve"> 2004; </w:t>
      </w:r>
      <w:proofErr w:type="spellStart"/>
      <w:r w:rsidR="00AF07C6" w:rsidRPr="001E69D3">
        <w:rPr>
          <w:rFonts w:ascii="Times New Roman" w:hAnsi="Times New Roman" w:cs="Times New Roman"/>
        </w:rPr>
        <w:t>Braido</w:t>
      </w:r>
      <w:proofErr w:type="spellEnd"/>
      <w:r w:rsidR="00AF07C6" w:rsidRPr="001E69D3">
        <w:rPr>
          <w:rFonts w:ascii="Times New Roman" w:hAnsi="Times New Roman" w:cs="Times New Roman"/>
        </w:rPr>
        <w:t xml:space="preserve"> and</w:t>
      </w:r>
      <w:r w:rsidR="00241513" w:rsidRPr="001E69D3">
        <w:rPr>
          <w:rFonts w:ascii="Times New Roman" w:hAnsi="Times New Roman" w:cs="Times New Roman"/>
        </w:rPr>
        <w:t xml:space="preserve"> </w:t>
      </w:r>
      <w:r w:rsidR="00AF07C6" w:rsidRPr="001E69D3">
        <w:rPr>
          <w:rFonts w:ascii="Times New Roman" w:hAnsi="Times New Roman" w:cs="Times New Roman"/>
        </w:rPr>
        <w:t>Ferreira</w:t>
      </w:r>
      <w:r w:rsidR="006442E9">
        <w:rPr>
          <w:rFonts w:ascii="Times New Roman" w:hAnsi="Times New Roman" w:cs="Times New Roman"/>
        </w:rPr>
        <w:t>,</w:t>
      </w:r>
      <w:r w:rsidR="00FA5F84" w:rsidRPr="001E69D3">
        <w:rPr>
          <w:rFonts w:ascii="Times New Roman" w:hAnsi="Times New Roman" w:cs="Times New Roman"/>
        </w:rPr>
        <w:t xml:space="preserve"> </w:t>
      </w:r>
      <w:r w:rsidR="00AF07C6" w:rsidRPr="001E69D3">
        <w:rPr>
          <w:rFonts w:ascii="Times New Roman" w:hAnsi="Times New Roman" w:cs="Times New Roman"/>
        </w:rPr>
        <w:t>2006</w:t>
      </w:r>
      <w:r w:rsidR="00FA5F84" w:rsidRPr="001E69D3">
        <w:rPr>
          <w:rFonts w:ascii="Times New Roman" w:hAnsi="Times New Roman" w:cs="Times New Roman"/>
        </w:rPr>
        <w:t>)</w:t>
      </w:r>
      <w:r w:rsidR="00AF07C6" w:rsidRPr="001E69D3">
        <w:rPr>
          <w:rFonts w:ascii="Times New Roman" w:hAnsi="Times New Roman" w:cs="Times New Roman"/>
        </w:rPr>
        <w:t>.</w:t>
      </w:r>
      <w:r w:rsidR="00531057" w:rsidRPr="001E69D3">
        <w:rPr>
          <w:rFonts w:ascii="Times New Roman" w:hAnsi="Times New Roman" w:cs="Times New Roman"/>
        </w:rPr>
        <w:t xml:space="preserve"> </w:t>
      </w:r>
      <w:r w:rsidR="00AF07C6" w:rsidRPr="001E69D3">
        <w:rPr>
          <w:rFonts w:ascii="Times New Roman" w:hAnsi="Times New Roman" w:cs="Times New Roman"/>
        </w:rPr>
        <w:t>More importantly</w:t>
      </w:r>
      <w:r w:rsidR="00D41446">
        <w:rPr>
          <w:rFonts w:ascii="Times New Roman" w:hAnsi="Times New Roman" w:cs="Times New Roman"/>
        </w:rPr>
        <w:t>,</w:t>
      </w:r>
      <w:r w:rsidR="00AF07C6" w:rsidRPr="001E69D3">
        <w:rPr>
          <w:rFonts w:ascii="Times New Roman" w:hAnsi="Times New Roman" w:cs="Times New Roman"/>
        </w:rPr>
        <w:t xml:space="preserve"> empirical measures of executive risk taking behavior and option pay are usually</w:t>
      </w:r>
      <w:r w:rsidR="00241513" w:rsidRPr="001E69D3">
        <w:rPr>
          <w:rFonts w:ascii="Times New Roman" w:hAnsi="Times New Roman" w:cs="Times New Roman"/>
        </w:rPr>
        <w:t xml:space="preserve"> </w:t>
      </w:r>
      <w:r w:rsidR="00AF07C6" w:rsidRPr="001E69D3">
        <w:rPr>
          <w:rFonts w:ascii="Times New Roman" w:hAnsi="Times New Roman" w:cs="Times New Roman"/>
        </w:rPr>
        <w:t xml:space="preserve">endogenously determined. </w:t>
      </w:r>
      <w:r w:rsidR="00241513" w:rsidRPr="001E69D3">
        <w:rPr>
          <w:rFonts w:ascii="Times New Roman" w:hAnsi="Times New Roman" w:cs="Times New Roman"/>
        </w:rPr>
        <w:t>Thus</w:t>
      </w:r>
      <w:r w:rsidR="001A1155">
        <w:rPr>
          <w:rFonts w:ascii="Times New Roman" w:hAnsi="Times New Roman" w:cs="Times New Roman"/>
        </w:rPr>
        <w:t>,</w:t>
      </w:r>
      <w:r w:rsidR="00AF07C6" w:rsidRPr="001E69D3">
        <w:rPr>
          <w:rFonts w:ascii="Times New Roman" w:hAnsi="Times New Roman" w:cs="Times New Roman"/>
        </w:rPr>
        <w:t xml:space="preserve"> draw</w:t>
      </w:r>
      <w:r w:rsidR="00241513" w:rsidRPr="001E69D3">
        <w:rPr>
          <w:rFonts w:ascii="Times New Roman" w:hAnsi="Times New Roman" w:cs="Times New Roman"/>
        </w:rPr>
        <w:t>ing</w:t>
      </w:r>
      <w:r w:rsidR="00AF07C6" w:rsidRPr="001E69D3">
        <w:rPr>
          <w:rFonts w:ascii="Times New Roman" w:hAnsi="Times New Roman" w:cs="Times New Roman"/>
        </w:rPr>
        <w:t xml:space="preserve"> a causal inference between option pay and risk taking incentives</w:t>
      </w:r>
      <w:r w:rsidR="00241513" w:rsidRPr="001E69D3">
        <w:rPr>
          <w:rFonts w:ascii="Times New Roman" w:hAnsi="Times New Roman" w:cs="Times New Roman"/>
        </w:rPr>
        <w:t xml:space="preserve"> is not straightforward</w:t>
      </w:r>
      <w:r w:rsidR="00AF07C6" w:rsidRPr="001E69D3">
        <w:rPr>
          <w:rFonts w:ascii="Times New Roman" w:hAnsi="Times New Roman" w:cs="Times New Roman"/>
        </w:rPr>
        <w:t xml:space="preserve">. </w:t>
      </w:r>
      <w:r w:rsidR="00D31AEC" w:rsidRPr="001E69D3">
        <w:rPr>
          <w:rFonts w:ascii="Times New Roman" w:hAnsi="Times New Roman" w:cs="Times New Roman"/>
        </w:rPr>
        <w:t xml:space="preserve">Using hedging behavior of oil and gas companies to measure CEO risk appetite and </w:t>
      </w:r>
      <w:r w:rsidR="00D445F5" w:rsidRPr="001E69D3">
        <w:rPr>
          <w:rFonts w:ascii="Times New Roman" w:hAnsi="Times New Roman" w:cs="Times New Roman"/>
        </w:rPr>
        <w:t>FAS 123R</w:t>
      </w:r>
      <w:r w:rsidR="00241513" w:rsidRPr="001E69D3">
        <w:rPr>
          <w:rFonts w:ascii="Times New Roman" w:hAnsi="Times New Roman" w:cs="Times New Roman"/>
        </w:rPr>
        <w:t xml:space="preserve"> as an exogenous shock to </w:t>
      </w:r>
      <w:r w:rsidR="001A1155">
        <w:rPr>
          <w:rFonts w:ascii="Times New Roman" w:hAnsi="Times New Roman" w:cs="Times New Roman"/>
        </w:rPr>
        <w:t xml:space="preserve">the </w:t>
      </w:r>
      <w:r w:rsidR="00241513" w:rsidRPr="001E69D3">
        <w:rPr>
          <w:rFonts w:ascii="Times New Roman" w:hAnsi="Times New Roman" w:cs="Times New Roman"/>
        </w:rPr>
        <w:t>use of options</w:t>
      </w:r>
      <w:r w:rsidR="00D31AEC" w:rsidRPr="001E69D3">
        <w:rPr>
          <w:rFonts w:ascii="Times New Roman" w:hAnsi="Times New Roman" w:cs="Times New Roman"/>
        </w:rPr>
        <w:t xml:space="preserve"> to draw a causal inference, we</w:t>
      </w:r>
      <w:r w:rsidR="00531057" w:rsidRPr="001E69D3">
        <w:rPr>
          <w:rFonts w:ascii="Times New Roman" w:hAnsi="Times New Roman" w:cs="Times New Roman"/>
        </w:rPr>
        <w:t xml:space="preserve"> establish</w:t>
      </w:r>
      <w:r w:rsidR="00D31AEC" w:rsidRPr="001E69D3">
        <w:rPr>
          <w:rFonts w:ascii="Times New Roman" w:hAnsi="Times New Roman" w:cs="Times New Roman"/>
        </w:rPr>
        <w:t xml:space="preserve"> that convexity of CEO pay provided by option grants increases the risk appetite of managers.</w:t>
      </w:r>
    </w:p>
    <w:p w:rsidR="007C312D" w:rsidRDefault="00E05AB2" w:rsidP="00565C31">
      <w:pPr>
        <w:autoSpaceDE w:val="0"/>
        <w:autoSpaceDN w:val="0"/>
        <w:adjustRightInd w:val="0"/>
        <w:spacing w:after="120" w:line="480" w:lineRule="auto"/>
        <w:ind w:firstLine="720"/>
        <w:jc w:val="both"/>
        <w:rPr>
          <w:rFonts w:ascii="Times New Roman" w:hAnsi="Times New Roman" w:cs="Times New Roman"/>
        </w:rPr>
      </w:pPr>
      <w:r>
        <w:rPr>
          <w:rFonts w:ascii="Times New Roman" w:hAnsi="Times New Roman" w:cs="Times New Roman"/>
        </w:rPr>
        <w:lastRenderedPageBreak/>
        <w:t>Finally, o</w:t>
      </w:r>
      <w:r w:rsidR="00B87971">
        <w:rPr>
          <w:rFonts w:ascii="Times New Roman" w:hAnsi="Times New Roman" w:cs="Times New Roman"/>
        </w:rPr>
        <w:t xml:space="preserve">ur study </w:t>
      </w:r>
      <w:r w:rsidR="0087292B">
        <w:rPr>
          <w:rFonts w:ascii="Times New Roman" w:hAnsi="Times New Roman" w:cs="Times New Roman"/>
        </w:rPr>
        <w:t>contributes</w:t>
      </w:r>
      <w:r>
        <w:rPr>
          <w:rFonts w:ascii="Times New Roman" w:hAnsi="Times New Roman" w:cs="Times New Roman"/>
        </w:rPr>
        <w:t xml:space="preserve"> </w:t>
      </w:r>
      <w:r w:rsidR="0087292B">
        <w:rPr>
          <w:rFonts w:ascii="Times New Roman" w:hAnsi="Times New Roman" w:cs="Times New Roman"/>
        </w:rPr>
        <w:t xml:space="preserve">to the corporate hedging literature that examines the relation between hedging and managerial compensation, by providing strong support for the prediction of Smith and </w:t>
      </w:r>
      <w:proofErr w:type="spellStart"/>
      <w:r w:rsidR="0087292B">
        <w:rPr>
          <w:rFonts w:ascii="Times New Roman" w:hAnsi="Times New Roman" w:cs="Times New Roman"/>
        </w:rPr>
        <w:t>Stulz</w:t>
      </w:r>
      <w:proofErr w:type="spellEnd"/>
      <w:r w:rsidR="0087292B">
        <w:rPr>
          <w:rFonts w:ascii="Times New Roman" w:hAnsi="Times New Roman" w:cs="Times New Roman"/>
        </w:rPr>
        <w:t xml:space="preserve"> (1985) of a negative relation between CEO stock option compensation and corporate hedging. While </w:t>
      </w:r>
      <w:proofErr w:type="spellStart"/>
      <w:r w:rsidR="0087292B">
        <w:rPr>
          <w:rFonts w:ascii="Times New Roman" w:hAnsi="Times New Roman" w:cs="Times New Roman"/>
        </w:rPr>
        <w:t>Tufano</w:t>
      </w:r>
      <w:proofErr w:type="spellEnd"/>
      <w:r w:rsidR="0087292B">
        <w:rPr>
          <w:rFonts w:ascii="Times New Roman" w:hAnsi="Times New Roman" w:cs="Times New Roman"/>
        </w:rPr>
        <w:t xml:space="preserve"> (1996) also finds evidence of such a negative relation in his study of the hedging practices of gold mining firms, subsequent studies have been unable to confirm his findings in other settings. </w:t>
      </w:r>
      <w:proofErr w:type="spellStart"/>
      <w:r w:rsidR="0087292B">
        <w:rPr>
          <w:rFonts w:ascii="Times New Roman" w:hAnsi="Times New Roman" w:cs="Times New Roman"/>
        </w:rPr>
        <w:t>Géczy</w:t>
      </w:r>
      <w:proofErr w:type="spellEnd"/>
      <w:r w:rsidR="0087292B">
        <w:rPr>
          <w:rFonts w:ascii="Times New Roman" w:hAnsi="Times New Roman" w:cs="Times New Roman"/>
        </w:rPr>
        <w:t xml:space="preserve">, Minton, and </w:t>
      </w:r>
      <w:proofErr w:type="spellStart"/>
      <w:r w:rsidR="0087292B">
        <w:rPr>
          <w:rFonts w:ascii="Times New Roman" w:hAnsi="Times New Roman" w:cs="Times New Roman"/>
        </w:rPr>
        <w:t>Schrand</w:t>
      </w:r>
      <w:proofErr w:type="spellEnd"/>
      <w:r w:rsidR="0087292B">
        <w:rPr>
          <w:rFonts w:ascii="Times New Roman" w:hAnsi="Times New Roman" w:cs="Times New Roman"/>
        </w:rPr>
        <w:t xml:space="preserve"> (1997) </w:t>
      </w:r>
      <w:r w:rsidR="00A53451">
        <w:rPr>
          <w:rFonts w:ascii="Times New Roman" w:hAnsi="Times New Roman" w:cs="Times New Roman"/>
        </w:rPr>
        <w:t xml:space="preserve">revisit </w:t>
      </w:r>
      <w:proofErr w:type="spellStart"/>
      <w:r w:rsidR="00A53451">
        <w:rPr>
          <w:rFonts w:ascii="Times New Roman" w:hAnsi="Times New Roman" w:cs="Times New Roman"/>
        </w:rPr>
        <w:t>Tufano</w:t>
      </w:r>
      <w:r w:rsidR="00E026E3">
        <w:rPr>
          <w:rFonts w:ascii="Times New Roman" w:hAnsi="Times New Roman" w:cs="Times New Roman"/>
        </w:rPr>
        <w:t>’s</w:t>
      </w:r>
      <w:proofErr w:type="spellEnd"/>
      <w:r w:rsidR="00A53451">
        <w:rPr>
          <w:rFonts w:ascii="Times New Roman" w:hAnsi="Times New Roman" w:cs="Times New Roman"/>
        </w:rPr>
        <w:t xml:space="preserve"> (1996) findings in the context of a sample of firms that use currency derivatives for hedging, and find evidence that contradicts the Smith and </w:t>
      </w:r>
      <w:proofErr w:type="spellStart"/>
      <w:r w:rsidR="00A53451">
        <w:rPr>
          <w:rFonts w:ascii="Times New Roman" w:hAnsi="Times New Roman" w:cs="Times New Roman"/>
        </w:rPr>
        <w:t>Stulz</w:t>
      </w:r>
      <w:proofErr w:type="spellEnd"/>
      <w:r w:rsidR="00A53451">
        <w:rPr>
          <w:rFonts w:ascii="Times New Roman" w:hAnsi="Times New Roman" w:cs="Times New Roman"/>
        </w:rPr>
        <w:t xml:space="preserve"> (1985) prediction of a negative effect of option compensation on hedging.</w:t>
      </w:r>
      <w:r w:rsidR="0087292B">
        <w:rPr>
          <w:rFonts w:ascii="Times New Roman" w:hAnsi="Times New Roman" w:cs="Times New Roman"/>
        </w:rPr>
        <w:t xml:space="preserve"> </w:t>
      </w:r>
      <w:proofErr w:type="spellStart"/>
      <w:r w:rsidR="000D59F9" w:rsidRPr="000D59F9">
        <w:rPr>
          <w:rFonts w:ascii="Times New Roman" w:hAnsi="Times New Roman" w:cs="Times New Roman"/>
        </w:rPr>
        <w:t>Géczy</w:t>
      </w:r>
      <w:proofErr w:type="spellEnd"/>
      <w:r w:rsidR="000D59F9" w:rsidRPr="000D59F9">
        <w:rPr>
          <w:rFonts w:ascii="Times New Roman" w:hAnsi="Times New Roman" w:cs="Times New Roman"/>
        </w:rPr>
        <w:t xml:space="preserve">, Minton, and </w:t>
      </w:r>
      <w:proofErr w:type="spellStart"/>
      <w:r w:rsidR="000D59F9" w:rsidRPr="000D59F9">
        <w:rPr>
          <w:rFonts w:ascii="Times New Roman" w:hAnsi="Times New Roman" w:cs="Times New Roman"/>
        </w:rPr>
        <w:t>Schrand</w:t>
      </w:r>
      <w:proofErr w:type="spellEnd"/>
      <w:r w:rsidR="000D59F9" w:rsidRPr="000D59F9">
        <w:rPr>
          <w:rFonts w:ascii="Times New Roman" w:hAnsi="Times New Roman" w:cs="Times New Roman"/>
        </w:rPr>
        <w:t xml:space="preserve"> (1997)</w:t>
      </w:r>
      <w:r w:rsidR="000D59F9">
        <w:rPr>
          <w:rFonts w:ascii="Times New Roman" w:hAnsi="Times New Roman" w:cs="Times New Roman"/>
        </w:rPr>
        <w:t xml:space="preserve"> raise the poss</w:t>
      </w:r>
      <w:r w:rsidR="005649B5">
        <w:rPr>
          <w:rFonts w:ascii="Times New Roman" w:hAnsi="Times New Roman" w:cs="Times New Roman"/>
        </w:rPr>
        <w:t>i</w:t>
      </w:r>
      <w:r w:rsidR="000D59F9">
        <w:rPr>
          <w:rFonts w:ascii="Times New Roman" w:hAnsi="Times New Roman" w:cs="Times New Roman"/>
        </w:rPr>
        <w:t xml:space="preserve">bility that </w:t>
      </w:r>
      <w:r w:rsidR="005649B5">
        <w:rPr>
          <w:rFonts w:ascii="Times New Roman" w:hAnsi="Times New Roman" w:cs="Times New Roman"/>
        </w:rPr>
        <w:t xml:space="preserve">their </w:t>
      </w:r>
      <w:r w:rsidR="009D6DD7">
        <w:rPr>
          <w:rFonts w:ascii="Times New Roman" w:hAnsi="Times New Roman" w:cs="Times New Roman"/>
        </w:rPr>
        <w:t xml:space="preserve">contrary evidence may be due to the confounding effect of a positive relation between R&amp;D expenditure and option compensation, which is mitigated in our setting by a sample drawn from the same industry </w:t>
      </w:r>
      <w:r>
        <w:rPr>
          <w:rFonts w:ascii="Times New Roman" w:hAnsi="Times New Roman" w:cs="Times New Roman"/>
        </w:rPr>
        <w:t>and with relatively low R&amp;D expe</w:t>
      </w:r>
      <w:r w:rsidR="007C312D">
        <w:rPr>
          <w:rFonts w:ascii="Times New Roman" w:hAnsi="Times New Roman" w:cs="Times New Roman"/>
        </w:rPr>
        <w:t xml:space="preserve">nditure. </w:t>
      </w:r>
      <w:r>
        <w:rPr>
          <w:rFonts w:ascii="Times New Roman" w:hAnsi="Times New Roman" w:cs="Times New Roman"/>
        </w:rPr>
        <w:t xml:space="preserve">Nonetheless, </w:t>
      </w:r>
      <w:proofErr w:type="spellStart"/>
      <w:r w:rsidR="00A53451">
        <w:rPr>
          <w:rFonts w:ascii="Times New Roman" w:hAnsi="Times New Roman" w:cs="Times New Roman"/>
        </w:rPr>
        <w:t>Haushalter</w:t>
      </w:r>
      <w:proofErr w:type="spellEnd"/>
      <w:r w:rsidR="00A53451">
        <w:rPr>
          <w:rFonts w:ascii="Times New Roman" w:hAnsi="Times New Roman" w:cs="Times New Roman"/>
        </w:rPr>
        <w:t xml:space="preserve"> (2000) revisits this question </w:t>
      </w:r>
      <w:r w:rsidR="000D59F9">
        <w:rPr>
          <w:rFonts w:ascii="Times New Roman" w:hAnsi="Times New Roman" w:cs="Times New Roman"/>
        </w:rPr>
        <w:t>using a sample of oil and gas producing firms like in our study</w:t>
      </w:r>
      <w:r>
        <w:rPr>
          <w:rFonts w:ascii="Times New Roman" w:hAnsi="Times New Roman" w:cs="Times New Roman"/>
        </w:rPr>
        <w:t xml:space="preserve">, and also fails to confirm </w:t>
      </w:r>
      <w:proofErr w:type="spellStart"/>
      <w:r>
        <w:rPr>
          <w:rFonts w:ascii="Times New Roman" w:hAnsi="Times New Roman" w:cs="Times New Roman"/>
        </w:rPr>
        <w:t>Tufano</w:t>
      </w:r>
      <w:r w:rsidR="00E026E3">
        <w:rPr>
          <w:rFonts w:ascii="Times New Roman" w:hAnsi="Times New Roman" w:cs="Times New Roman"/>
        </w:rPr>
        <w:t>’s</w:t>
      </w:r>
      <w:proofErr w:type="spellEnd"/>
      <w:r>
        <w:rPr>
          <w:rFonts w:ascii="Times New Roman" w:hAnsi="Times New Roman" w:cs="Times New Roman"/>
        </w:rPr>
        <w:t xml:space="preserve"> (1996) findings</w:t>
      </w:r>
      <w:r w:rsidR="000D59F9">
        <w:rPr>
          <w:rFonts w:ascii="Times New Roman" w:hAnsi="Times New Roman" w:cs="Times New Roman"/>
        </w:rPr>
        <w:t xml:space="preserve">. While </w:t>
      </w:r>
      <w:r>
        <w:rPr>
          <w:rFonts w:ascii="Times New Roman" w:hAnsi="Times New Roman" w:cs="Times New Roman"/>
        </w:rPr>
        <w:t xml:space="preserve">documenting </w:t>
      </w:r>
      <w:r w:rsidR="000D59F9">
        <w:rPr>
          <w:rFonts w:ascii="Times New Roman" w:hAnsi="Times New Roman" w:cs="Times New Roman"/>
        </w:rPr>
        <w:t xml:space="preserve">a positive relation between option compensation and the fraction of production hedged, </w:t>
      </w:r>
      <w:proofErr w:type="spellStart"/>
      <w:r w:rsidR="000D59F9">
        <w:rPr>
          <w:rFonts w:ascii="Times New Roman" w:hAnsi="Times New Roman" w:cs="Times New Roman"/>
        </w:rPr>
        <w:t>Haushalter</w:t>
      </w:r>
      <w:proofErr w:type="spellEnd"/>
      <w:r w:rsidR="000D59F9">
        <w:rPr>
          <w:rFonts w:ascii="Times New Roman" w:hAnsi="Times New Roman" w:cs="Times New Roman"/>
        </w:rPr>
        <w:t xml:space="preserve"> (2000) notes that his data does not enable a refinement of his analysis because of his inability to calculate the </w:t>
      </w:r>
      <w:proofErr w:type="spellStart"/>
      <w:proofErr w:type="gramStart"/>
      <w:r w:rsidR="000D59F9">
        <w:rPr>
          <w:rFonts w:ascii="Times New Roman" w:hAnsi="Times New Roman" w:cs="Times New Roman"/>
        </w:rPr>
        <w:t>vega</w:t>
      </w:r>
      <w:proofErr w:type="spellEnd"/>
      <w:proofErr w:type="gramEnd"/>
      <w:r w:rsidR="000D59F9">
        <w:rPr>
          <w:rFonts w:ascii="Times New Roman" w:hAnsi="Times New Roman" w:cs="Times New Roman"/>
        </w:rPr>
        <w:t xml:space="preserve"> and delta of a manager’s exercisable options</w:t>
      </w:r>
      <w:r w:rsidR="007C312D">
        <w:rPr>
          <w:rFonts w:ascii="Times New Roman" w:hAnsi="Times New Roman" w:cs="Times New Roman"/>
        </w:rPr>
        <w:t xml:space="preserve"> like we do in ours</w:t>
      </w:r>
      <w:r w:rsidR="000D59F9">
        <w:rPr>
          <w:rFonts w:ascii="Times New Roman" w:hAnsi="Times New Roman" w:cs="Times New Roman"/>
        </w:rPr>
        <w:t xml:space="preserve">. Additionally, </w:t>
      </w:r>
      <w:r w:rsidR="007C312D">
        <w:rPr>
          <w:rFonts w:ascii="Times New Roman" w:hAnsi="Times New Roman" w:cs="Times New Roman"/>
        </w:rPr>
        <w:t>n</w:t>
      </w:r>
      <w:r w:rsidR="00A53451">
        <w:rPr>
          <w:rFonts w:ascii="Times New Roman" w:hAnsi="Times New Roman" w:cs="Times New Roman"/>
        </w:rPr>
        <w:t>one of</w:t>
      </w:r>
      <w:r w:rsidR="001B5204">
        <w:rPr>
          <w:rFonts w:ascii="Times New Roman" w:hAnsi="Times New Roman" w:cs="Times New Roman"/>
        </w:rPr>
        <w:t xml:space="preserve"> the aforementioned studies is </w:t>
      </w:r>
      <w:r w:rsidR="00A53451">
        <w:rPr>
          <w:rFonts w:ascii="Times New Roman" w:hAnsi="Times New Roman" w:cs="Times New Roman"/>
        </w:rPr>
        <w:t xml:space="preserve">undertaken in the context of a natural experimental setting like ours that helps to robustly address </w:t>
      </w:r>
      <w:proofErr w:type="spellStart"/>
      <w:r w:rsidR="00A53451">
        <w:rPr>
          <w:rFonts w:ascii="Times New Roman" w:hAnsi="Times New Roman" w:cs="Times New Roman"/>
        </w:rPr>
        <w:t>endogeneity</w:t>
      </w:r>
      <w:proofErr w:type="spellEnd"/>
      <w:r w:rsidR="00A53451">
        <w:rPr>
          <w:rFonts w:ascii="Times New Roman" w:hAnsi="Times New Roman" w:cs="Times New Roman"/>
        </w:rPr>
        <w:t xml:space="preserve"> issues.</w:t>
      </w:r>
      <w:r w:rsidR="0087292B">
        <w:rPr>
          <w:rFonts w:ascii="Times New Roman" w:hAnsi="Times New Roman" w:cs="Times New Roman"/>
        </w:rPr>
        <w:t xml:space="preserve"> </w:t>
      </w:r>
    </w:p>
    <w:p w:rsidR="00531057" w:rsidRPr="001E69D3" w:rsidRDefault="00531057" w:rsidP="00565C31">
      <w:pPr>
        <w:autoSpaceDE w:val="0"/>
        <w:autoSpaceDN w:val="0"/>
        <w:adjustRightInd w:val="0"/>
        <w:spacing w:after="120" w:line="480" w:lineRule="auto"/>
        <w:ind w:firstLine="720"/>
        <w:jc w:val="both"/>
        <w:rPr>
          <w:rFonts w:ascii="Times New Roman" w:hAnsi="Times New Roman" w:cs="Times New Roman"/>
        </w:rPr>
      </w:pPr>
      <w:r w:rsidRPr="001E69D3">
        <w:rPr>
          <w:rFonts w:ascii="Times New Roman" w:hAnsi="Times New Roman" w:cs="Times New Roman"/>
        </w:rPr>
        <w:t xml:space="preserve">In the next section, we review the effect of FAS 123R and discuss </w:t>
      </w:r>
      <w:r w:rsidR="001A1155">
        <w:rPr>
          <w:rFonts w:ascii="Times New Roman" w:hAnsi="Times New Roman" w:cs="Times New Roman"/>
        </w:rPr>
        <w:t xml:space="preserve">in Section 3 </w:t>
      </w:r>
      <w:r w:rsidRPr="001E69D3">
        <w:rPr>
          <w:rFonts w:ascii="Times New Roman" w:hAnsi="Times New Roman" w:cs="Times New Roman"/>
        </w:rPr>
        <w:t>how we build our identification strategy. Section 4 discusses our data and methodology and Section 5 presents our empirical results. Section 6 concludes.</w:t>
      </w:r>
    </w:p>
    <w:p w:rsidR="0061441F" w:rsidRPr="00317382" w:rsidRDefault="00D31AEC" w:rsidP="0061441F">
      <w:pPr>
        <w:autoSpaceDE w:val="0"/>
        <w:autoSpaceDN w:val="0"/>
        <w:adjustRightInd w:val="0"/>
        <w:spacing w:after="0" w:line="240" w:lineRule="auto"/>
        <w:rPr>
          <w:rFonts w:ascii="Times New Roman" w:hAnsi="Times New Roman" w:cs="Times New Roman"/>
          <w:b/>
          <w:color w:val="76923C" w:themeColor="accent3" w:themeShade="BF"/>
        </w:rPr>
      </w:pPr>
      <w:r w:rsidRPr="00317382">
        <w:rPr>
          <w:rFonts w:ascii="Times New Roman" w:hAnsi="Times New Roman" w:cs="Times New Roman"/>
          <w:color w:val="76923C" w:themeColor="accent3" w:themeShade="BF"/>
        </w:rPr>
        <w:t xml:space="preserve"> </w:t>
      </w:r>
    </w:p>
    <w:p w:rsidR="00F85A36" w:rsidRDefault="005D587B" w:rsidP="006344CA">
      <w:pPr>
        <w:pStyle w:val="ListParagraph"/>
        <w:keepNext/>
        <w:numPr>
          <w:ilvl w:val="0"/>
          <w:numId w:val="3"/>
        </w:numPr>
        <w:spacing w:after="120" w:line="480" w:lineRule="auto"/>
        <w:ind w:hanging="648"/>
        <w:outlineLvl w:val="0"/>
        <w:rPr>
          <w:rFonts w:ascii="Times New Roman" w:eastAsia="Times New Roman" w:hAnsi="Times New Roman" w:cs="Times New Roman"/>
          <w:b/>
          <w:bCs/>
        </w:rPr>
      </w:pPr>
      <w:r>
        <w:rPr>
          <w:rFonts w:ascii="Times New Roman" w:eastAsia="Times New Roman" w:hAnsi="Times New Roman" w:cs="Times New Roman"/>
          <w:b/>
          <w:bCs/>
        </w:rPr>
        <w:t>FAS</w:t>
      </w:r>
      <w:r w:rsidR="000F02C8">
        <w:rPr>
          <w:rFonts w:ascii="Times New Roman" w:eastAsia="Times New Roman" w:hAnsi="Times New Roman" w:cs="Times New Roman"/>
          <w:b/>
          <w:bCs/>
        </w:rPr>
        <w:t xml:space="preserve"> 123 R </w:t>
      </w:r>
      <w:r>
        <w:rPr>
          <w:rFonts w:ascii="Times New Roman" w:eastAsia="Times New Roman" w:hAnsi="Times New Roman" w:cs="Times New Roman"/>
          <w:b/>
          <w:bCs/>
        </w:rPr>
        <w:t xml:space="preserve">and the Accounting Treatment of Executive Stock Options </w:t>
      </w:r>
    </w:p>
    <w:p w:rsidR="005B0592" w:rsidRPr="00384D43" w:rsidRDefault="003149ED" w:rsidP="009E44F5">
      <w:pPr>
        <w:autoSpaceDE w:val="0"/>
        <w:autoSpaceDN w:val="0"/>
        <w:adjustRightInd w:val="0"/>
        <w:spacing w:after="120" w:line="480" w:lineRule="auto"/>
        <w:ind w:firstLine="648"/>
        <w:jc w:val="both"/>
        <w:rPr>
          <w:rFonts w:ascii="Times New Roman" w:hAnsi="Times New Roman" w:cs="Times New Roman"/>
        </w:rPr>
      </w:pPr>
      <w:r>
        <w:rPr>
          <w:rFonts w:ascii="Times New Roman" w:hAnsi="Times New Roman" w:cs="Times New Roman"/>
        </w:rPr>
        <w:tab/>
      </w:r>
      <w:r w:rsidR="00DB0449">
        <w:rPr>
          <w:rFonts w:ascii="Times New Roman" w:hAnsi="Times New Roman" w:cs="Times New Roman"/>
        </w:rPr>
        <w:t xml:space="preserve">The natural experiment we use to identify the causal effect of </w:t>
      </w:r>
      <w:r w:rsidRPr="004049A6">
        <w:rPr>
          <w:rFonts w:ascii="Times New Roman" w:hAnsi="Times New Roman" w:cs="Times New Roman"/>
        </w:rPr>
        <w:t>CEO wealth to stock return volatility (</w:t>
      </w:r>
      <w:proofErr w:type="spellStart"/>
      <w:proofErr w:type="gramStart"/>
      <w:r w:rsidRPr="004049A6">
        <w:rPr>
          <w:rFonts w:ascii="Times New Roman" w:hAnsi="Times New Roman" w:cs="Times New Roman"/>
        </w:rPr>
        <w:t>vega</w:t>
      </w:r>
      <w:proofErr w:type="spellEnd"/>
      <w:proofErr w:type="gramEnd"/>
      <w:r w:rsidRPr="004049A6">
        <w:rPr>
          <w:rFonts w:ascii="Times New Roman" w:hAnsi="Times New Roman" w:cs="Times New Roman"/>
        </w:rPr>
        <w:t>) on corporate risk management</w:t>
      </w:r>
      <w:r>
        <w:rPr>
          <w:rFonts w:ascii="Times New Roman" w:hAnsi="Times New Roman" w:cs="Times New Roman"/>
        </w:rPr>
        <w:t xml:space="preserve"> is a significant </w:t>
      </w:r>
      <w:r w:rsidR="00384D43">
        <w:rPr>
          <w:rFonts w:ascii="Times New Roman" w:hAnsi="Times New Roman" w:cs="Times New Roman"/>
        </w:rPr>
        <w:t xml:space="preserve">change </w:t>
      </w:r>
      <w:r>
        <w:rPr>
          <w:rFonts w:ascii="Times New Roman" w:hAnsi="Times New Roman" w:cs="Times New Roman"/>
        </w:rPr>
        <w:t xml:space="preserve">in the accounting regulation governing how executive options are expensed. </w:t>
      </w:r>
      <w:r w:rsidRPr="006344CA">
        <w:rPr>
          <w:rFonts w:ascii="Times New Roman" w:hAnsi="Times New Roman" w:cs="Times New Roman"/>
        </w:rPr>
        <w:t xml:space="preserve">After decades of debates over whether the value of </w:t>
      </w:r>
      <w:r w:rsidRPr="006344CA">
        <w:rPr>
          <w:rFonts w:ascii="Times New Roman" w:hAnsi="Times New Roman" w:cs="Times New Roman"/>
        </w:rPr>
        <w:lastRenderedPageBreak/>
        <w:t>executive stock options should be charged against earning</w:t>
      </w:r>
      <w:r>
        <w:rPr>
          <w:rFonts w:ascii="Times New Roman" w:hAnsi="Times New Roman" w:cs="Times New Roman"/>
        </w:rPr>
        <w:t>s</w:t>
      </w:r>
      <w:r w:rsidRPr="006344CA">
        <w:rPr>
          <w:rFonts w:ascii="Times New Roman" w:hAnsi="Times New Roman" w:cs="Times New Roman"/>
        </w:rPr>
        <w:t xml:space="preserve">, in 2004, the FASB issued a revised version of </w:t>
      </w:r>
      <w:r w:rsidR="00D445F5">
        <w:rPr>
          <w:rFonts w:ascii="Times New Roman" w:hAnsi="Times New Roman" w:cs="Times New Roman"/>
        </w:rPr>
        <w:t>FAS 123R</w:t>
      </w:r>
      <w:r w:rsidRPr="006344CA">
        <w:rPr>
          <w:rFonts w:ascii="Times New Roman" w:hAnsi="Times New Roman" w:cs="Times New Roman"/>
        </w:rPr>
        <w:t xml:space="preserve"> that required the use of fair v</w:t>
      </w:r>
      <w:r>
        <w:rPr>
          <w:rFonts w:ascii="Times New Roman" w:hAnsi="Times New Roman" w:cs="Times New Roman"/>
        </w:rPr>
        <w:t xml:space="preserve">alues in the income statements. </w:t>
      </w:r>
      <w:r w:rsidR="005D587B" w:rsidRPr="006344CA">
        <w:rPr>
          <w:rFonts w:ascii="Times New Roman" w:hAnsi="Times New Roman" w:cs="Times New Roman"/>
        </w:rPr>
        <w:t xml:space="preserve">The accounting rules for executive stock options prior to </w:t>
      </w:r>
      <w:r w:rsidR="00D445F5">
        <w:rPr>
          <w:rFonts w:ascii="Times New Roman" w:hAnsi="Times New Roman" w:cs="Times New Roman"/>
        </w:rPr>
        <w:t>FAS 123R</w:t>
      </w:r>
      <w:r w:rsidR="005B0592" w:rsidRPr="006344CA">
        <w:rPr>
          <w:rFonts w:ascii="Times New Roman" w:hAnsi="Times New Roman" w:cs="Times New Roman"/>
        </w:rPr>
        <w:t xml:space="preserve"> were established by FAS 123</w:t>
      </w:r>
      <w:r w:rsidR="00DB0449">
        <w:rPr>
          <w:rFonts w:ascii="Times New Roman" w:hAnsi="Times New Roman" w:cs="Times New Roman"/>
        </w:rPr>
        <w:t>. FAS 123 offered firms two alternative ways to expense executive stock options. First, i</w:t>
      </w:r>
      <w:r w:rsidR="00DB0449" w:rsidRPr="006344CA">
        <w:rPr>
          <w:rFonts w:ascii="Times New Roman" w:hAnsi="Times New Roman" w:cs="Times New Roman"/>
        </w:rPr>
        <w:t xml:space="preserve">t allowed firms to use the ‘intrinsic value’ method prescribed by </w:t>
      </w:r>
      <w:r w:rsidR="00DB0449" w:rsidRPr="006344CA">
        <w:rPr>
          <w:rFonts w:ascii="Times New Roman" w:hAnsi="Times New Roman" w:cs="Times New Roman"/>
          <w:i/>
          <w:iCs/>
        </w:rPr>
        <w:t xml:space="preserve">Accounting Principles Board Opinion No. 25 </w:t>
      </w:r>
      <w:r w:rsidR="00DB0449" w:rsidRPr="006344CA">
        <w:rPr>
          <w:rFonts w:ascii="Times New Roman" w:hAnsi="Times New Roman" w:cs="Times New Roman"/>
        </w:rPr>
        <w:t>(APB 25), provided the information about the fair value of options as of the grant date was disclosed in a financial statement footnote.</w:t>
      </w:r>
      <w:r w:rsidR="00DB0449" w:rsidRPr="006344CA">
        <w:rPr>
          <w:rStyle w:val="FootnoteReference"/>
          <w:rFonts w:ascii="Times New Roman" w:hAnsi="Times New Roman" w:cs="Times New Roman"/>
          <w:color w:val="000000" w:themeColor="text1"/>
        </w:rPr>
        <w:footnoteReference w:id="10"/>
      </w:r>
      <w:r w:rsidR="00DB0449" w:rsidRPr="006344CA">
        <w:rPr>
          <w:rFonts w:ascii="Times New Roman" w:hAnsi="Times New Roman" w:cs="Times New Roman"/>
          <w:color w:val="000000" w:themeColor="text1"/>
        </w:rPr>
        <w:t xml:space="preserve"> </w:t>
      </w:r>
      <w:r w:rsidR="00DB0449" w:rsidRPr="006344CA">
        <w:rPr>
          <w:rFonts w:ascii="Times New Roman" w:hAnsi="Times New Roman" w:cs="Times New Roman"/>
        </w:rPr>
        <w:t xml:space="preserve"> Under the intrinsic value method, firms could avoid option expense by granting options with exercise prices equal to or above the grant-date market price of the underlying stock. </w:t>
      </w:r>
      <w:r w:rsidR="00DB0449">
        <w:rPr>
          <w:rFonts w:ascii="Times New Roman" w:hAnsi="Times New Roman" w:cs="Times New Roman"/>
        </w:rPr>
        <w:t>Second, firms could</w:t>
      </w:r>
      <w:r>
        <w:rPr>
          <w:rFonts w:ascii="Times New Roman" w:hAnsi="Times New Roman" w:cs="Times New Roman"/>
        </w:rPr>
        <w:t xml:space="preserve"> also use the ‘fair-value</w:t>
      </w:r>
      <w:r w:rsidR="00DB0449">
        <w:rPr>
          <w:rFonts w:ascii="Times New Roman" w:hAnsi="Times New Roman" w:cs="Times New Roman"/>
        </w:rPr>
        <w:t>’</w:t>
      </w:r>
      <w:r>
        <w:rPr>
          <w:rFonts w:ascii="Times New Roman" w:hAnsi="Times New Roman" w:cs="Times New Roman"/>
        </w:rPr>
        <w:t xml:space="preserve"> approach</w:t>
      </w:r>
      <w:r w:rsidR="00DB0449">
        <w:rPr>
          <w:rFonts w:ascii="Times New Roman" w:hAnsi="Times New Roman" w:cs="Times New Roman"/>
        </w:rPr>
        <w:t xml:space="preserve"> which instructed</w:t>
      </w:r>
      <w:r w:rsidR="005D587B" w:rsidRPr="006344CA">
        <w:rPr>
          <w:rFonts w:ascii="Times New Roman" w:hAnsi="Times New Roman" w:cs="Times New Roman"/>
        </w:rPr>
        <w:t xml:space="preserve"> </w:t>
      </w:r>
      <w:r w:rsidR="00DB0449" w:rsidRPr="006344CA">
        <w:rPr>
          <w:rFonts w:ascii="Times New Roman" w:hAnsi="Times New Roman" w:cs="Times New Roman"/>
        </w:rPr>
        <w:t>companies to record option expense based on the option’s grant date ‘fair market value.</w:t>
      </w:r>
      <w:r w:rsidR="00DB0449">
        <w:rPr>
          <w:rFonts w:ascii="Times New Roman" w:hAnsi="Times New Roman" w:cs="Times New Roman"/>
        </w:rPr>
        <w:t xml:space="preserve"> Although FAS 123</w:t>
      </w:r>
      <w:r w:rsidR="00DB0449" w:rsidRPr="006344CA">
        <w:rPr>
          <w:rFonts w:ascii="Times New Roman" w:hAnsi="Times New Roman" w:cs="Times New Roman"/>
        </w:rPr>
        <w:t xml:space="preserve"> </w:t>
      </w:r>
      <w:r w:rsidR="005D587B" w:rsidRPr="006344CA">
        <w:rPr>
          <w:rFonts w:ascii="Times New Roman" w:hAnsi="Times New Roman" w:cs="Times New Roman"/>
        </w:rPr>
        <w:t>encouraged</w:t>
      </w:r>
      <w:r w:rsidR="00DB0449">
        <w:rPr>
          <w:rFonts w:ascii="Times New Roman" w:hAnsi="Times New Roman" w:cs="Times New Roman"/>
        </w:rPr>
        <w:t xml:space="preserve"> the ‘fair-value method’</w:t>
      </w:r>
      <w:r w:rsidR="005D587B" w:rsidRPr="006344CA">
        <w:rPr>
          <w:rFonts w:ascii="Times New Roman" w:hAnsi="Times New Roman" w:cs="Times New Roman"/>
        </w:rPr>
        <w:t xml:space="preserve"> </w:t>
      </w:r>
      <w:r w:rsidR="00DB0449">
        <w:rPr>
          <w:rFonts w:ascii="Times New Roman" w:hAnsi="Times New Roman" w:cs="Times New Roman"/>
        </w:rPr>
        <w:t>it was not required. As a result</w:t>
      </w:r>
      <w:r w:rsidR="005B0592" w:rsidRPr="006344CA">
        <w:rPr>
          <w:rFonts w:ascii="Times New Roman" w:hAnsi="Times New Roman" w:cs="Times New Roman"/>
        </w:rPr>
        <w:t xml:space="preserve"> </w:t>
      </w:r>
      <w:r w:rsidR="00DB0449">
        <w:rPr>
          <w:rFonts w:ascii="Times New Roman" w:hAnsi="Times New Roman" w:cs="Times New Roman"/>
        </w:rPr>
        <w:t>n</w:t>
      </w:r>
      <w:r w:rsidR="005D587B" w:rsidRPr="006344CA">
        <w:rPr>
          <w:rFonts w:ascii="Times New Roman" w:hAnsi="Times New Roman" w:cs="Times New Roman"/>
        </w:rPr>
        <w:t>ot surprisingly,</w:t>
      </w:r>
      <w:r w:rsidR="005B0592" w:rsidRPr="006344CA">
        <w:rPr>
          <w:rFonts w:ascii="Times New Roman" w:hAnsi="Times New Roman" w:cs="Times New Roman"/>
        </w:rPr>
        <w:t xml:space="preserve"> </w:t>
      </w:r>
      <w:r w:rsidR="005D587B" w:rsidRPr="006344CA">
        <w:rPr>
          <w:rFonts w:ascii="Times New Roman" w:hAnsi="Times New Roman" w:cs="Times New Roman"/>
        </w:rPr>
        <w:t>nearly all firms followed the intrinsic value method, and issued at-the-money options</w:t>
      </w:r>
      <w:r w:rsidR="00DB0449">
        <w:rPr>
          <w:rFonts w:ascii="Times New Roman" w:hAnsi="Times New Roman" w:cs="Times New Roman"/>
        </w:rPr>
        <w:t xml:space="preserve"> as </w:t>
      </w:r>
      <w:r w:rsidR="00DB0449" w:rsidRPr="00384D43">
        <w:rPr>
          <w:rFonts w:ascii="Times New Roman" w:hAnsi="Times New Roman" w:cs="Times New Roman"/>
        </w:rPr>
        <w:t>they could issue option pay without having to record any expenses on the income statement</w:t>
      </w:r>
      <w:r w:rsidR="005D587B" w:rsidRPr="00384D43">
        <w:rPr>
          <w:rFonts w:ascii="Times New Roman" w:hAnsi="Times New Roman" w:cs="Times New Roman"/>
        </w:rPr>
        <w:t>.</w:t>
      </w:r>
      <w:r w:rsidR="005B0592" w:rsidRPr="00384D43">
        <w:rPr>
          <w:rFonts w:ascii="Times New Roman" w:hAnsi="Times New Roman" w:cs="Times New Roman"/>
        </w:rPr>
        <w:t xml:space="preserve"> </w:t>
      </w:r>
    </w:p>
    <w:p w:rsidR="00B0608C" w:rsidRDefault="00384D43" w:rsidP="006344CA">
      <w:pPr>
        <w:autoSpaceDE w:val="0"/>
        <w:autoSpaceDN w:val="0"/>
        <w:adjustRightInd w:val="0"/>
        <w:spacing w:after="120" w:line="480" w:lineRule="auto"/>
        <w:ind w:firstLine="648"/>
        <w:jc w:val="both"/>
        <w:rPr>
          <w:rFonts w:ascii="Times New Roman" w:hAnsi="Times New Roman" w:cs="Times New Roman"/>
        </w:rPr>
      </w:pPr>
      <w:r w:rsidRPr="009E44F5">
        <w:rPr>
          <w:rFonts w:ascii="Times New Roman" w:hAnsi="Times New Roman" w:cs="Times New Roman"/>
        </w:rPr>
        <w:t xml:space="preserve">The paucity of executive stock option expensing came under </w:t>
      </w:r>
      <w:r w:rsidR="001A1155">
        <w:rPr>
          <w:rFonts w:ascii="Times New Roman" w:hAnsi="Times New Roman" w:cs="Times New Roman"/>
        </w:rPr>
        <w:t xml:space="preserve">regulatory scrutiny </w:t>
      </w:r>
      <w:r w:rsidRPr="009E44F5">
        <w:rPr>
          <w:rFonts w:ascii="Times New Roman" w:hAnsi="Times New Roman" w:cs="Times New Roman"/>
        </w:rPr>
        <w:t>after Enron, WorldCom, and other major accounting scandals. Investors argued that the intrinsic-value method resulted in financial statements that did not reflect the economic cost of stock options. It was also suggested that lack of expensing contributed to the stock option grant explosion in the 1990s (Murphy</w:t>
      </w:r>
      <w:r w:rsidR="006442E9">
        <w:rPr>
          <w:rFonts w:ascii="Times New Roman" w:hAnsi="Times New Roman" w:cs="Times New Roman"/>
        </w:rPr>
        <w:t xml:space="preserve">, </w:t>
      </w:r>
      <w:r w:rsidRPr="009E44F5">
        <w:rPr>
          <w:rFonts w:ascii="Times New Roman" w:hAnsi="Times New Roman" w:cs="Times New Roman"/>
        </w:rPr>
        <w:t>2002</w:t>
      </w:r>
      <w:r w:rsidR="006442E9">
        <w:rPr>
          <w:rFonts w:ascii="Times New Roman" w:hAnsi="Times New Roman" w:cs="Times New Roman"/>
        </w:rPr>
        <w:t xml:space="preserve">; </w:t>
      </w:r>
      <w:r w:rsidRPr="009E44F5">
        <w:rPr>
          <w:rFonts w:ascii="Times New Roman" w:hAnsi="Times New Roman" w:cs="Times New Roman"/>
        </w:rPr>
        <w:t>Hall and Murphy</w:t>
      </w:r>
      <w:r w:rsidR="006442E9">
        <w:rPr>
          <w:rFonts w:ascii="Times New Roman" w:hAnsi="Times New Roman" w:cs="Times New Roman"/>
        </w:rPr>
        <w:t>,</w:t>
      </w:r>
      <w:r w:rsidR="00FA5F84">
        <w:rPr>
          <w:rFonts w:ascii="Times New Roman" w:hAnsi="Times New Roman" w:cs="Times New Roman"/>
        </w:rPr>
        <w:t xml:space="preserve"> </w:t>
      </w:r>
      <w:r w:rsidRPr="009E44F5">
        <w:rPr>
          <w:rFonts w:ascii="Times New Roman" w:hAnsi="Times New Roman" w:cs="Times New Roman"/>
        </w:rPr>
        <w:t>2003</w:t>
      </w:r>
      <w:r w:rsidR="00FA5F84">
        <w:rPr>
          <w:rFonts w:ascii="Times New Roman" w:hAnsi="Times New Roman" w:cs="Times New Roman"/>
        </w:rPr>
        <w:t>)</w:t>
      </w:r>
      <w:r w:rsidRPr="009E44F5">
        <w:rPr>
          <w:rFonts w:ascii="Times New Roman" w:hAnsi="Times New Roman" w:cs="Times New Roman"/>
        </w:rPr>
        <w:t>. To address these concerns the FASB issued an exposure draft in March 2004 followed by a final standard, FAS 123R</w:t>
      </w:r>
      <w:r w:rsidR="001A1155">
        <w:rPr>
          <w:rFonts w:ascii="Times New Roman" w:hAnsi="Times New Roman" w:cs="Times New Roman"/>
        </w:rPr>
        <w:t>,</w:t>
      </w:r>
      <w:r w:rsidRPr="009E44F5">
        <w:rPr>
          <w:rFonts w:ascii="Times New Roman" w:hAnsi="Times New Roman" w:cs="Times New Roman"/>
        </w:rPr>
        <w:t xml:space="preserve"> in December 2004, which required firms to expense option grants using the fair-value method. </w:t>
      </w:r>
      <w:r w:rsidR="0069245F" w:rsidRPr="00384D43">
        <w:rPr>
          <w:rFonts w:ascii="Times New Roman" w:hAnsi="Times New Roman" w:cs="Times New Roman"/>
        </w:rPr>
        <w:t>For large</w:t>
      </w:r>
      <w:r w:rsidR="0069245F" w:rsidRPr="006344CA">
        <w:rPr>
          <w:rFonts w:ascii="Times New Roman" w:hAnsi="Times New Roman" w:cs="Times New Roman"/>
        </w:rPr>
        <w:t xml:space="preserve"> public corporations this new regulation became effective for</w:t>
      </w:r>
      <w:r w:rsidR="00156E44" w:rsidRPr="00156E44">
        <w:rPr>
          <w:rFonts w:ascii="Times New Roman" w:hAnsi="Times New Roman" w:cs="Times New Roman"/>
        </w:rPr>
        <w:t xml:space="preserve"> </w:t>
      </w:r>
      <w:r w:rsidR="00156E44">
        <w:rPr>
          <w:rFonts w:ascii="Times New Roman" w:hAnsi="Times New Roman" w:cs="Times New Roman"/>
        </w:rPr>
        <w:t>financial reporting in fiscal years commencing after December 15, 2005</w:t>
      </w:r>
      <w:r w:rsidR="0069245F" w:rsidRPr="00156E44">
        <w:rPr>
          <w:rFonts w:ascii="Times New Roman" w:hAnsi="Times New Roman" w:cs="Times New Roman"/>
        </w:rPr>
        <w:t>.</w:t>
      </w:r>
      <w:r w:rsidR="00841325">
        <w:rPr>
          <w:rFonts w:ascii="Times New Roman" w:hAnsi="Times New Roman" w:cs="Times New Roman"/>
        </w:rPr>
        <w:t xml:space="preserve"> </w:t>
      </w:r>
      <w:r w:rsidR="0069245F" w:rsidRPr="006344CA">
        <w:rPr>
          <w:rFonts w:ascii="Times New Roman" w:hAnsi="Times New Roman" w:cs="Times New Roman"/>
        </w:rPr>
        <w:t xml:space="preserve">The main accounting difference imposed by </w:t>
      </w:r>
      <w:r w:rsidR="00D445F5">
        <w:rPr>
          <w:rFonts w:ascii="Times New Roman" w:hAnsi="Times New Roman" w:cs="Times New Roman"/>
        </w:rPr>
        <w:t>FAS 123R</w:t>
      </w:r>
      <w:r w:rsidR="0069245F" w:rsidRPr="006344CA">
        <w:rPr>
          <w:rFonts w:ascii="Times New Roman" w:hAnsi="Times New Roman" w:cs="Times New Roman"/>
        </w:rPr>
        <w:t xml:space="preserve"> relates to the expensing of fixed stock options, in which the </w:t>
      </w:r>
      <w:r w:rsidR="0026094D" w:rsidRPr="006344CA">
        <w:rPr>
          <w:rFonts w:ascii="Times New Roman" w:hAnsi="Times New Roman" w:cs="Times New Roman"/>
        </w:rPr>
        <w:t>exercise</w:t>
      </w:r>
      <w:r w:rsidR="0069245F" w:rsidRPr="006344CA">
        <w:rPr>
          <w:rFonts w:ascii="Times New Roman" w:hAnsi="Times New Roman" w:cs="Times New Roman"/>
        </w:rPr>
        <w:t xml:space="preserve"> price and the number of </w:t>
      </w:r>
      <w:r w:rsidR="006344CA" w:rsidRPr="006344CA">
        <w:rPr>
          <w:rFonts w:ascii="Times New Roman" w:hAnsi="Times New Roman" w:cs="Times New Roman"/>
        </w:rPr>
        <w:t>shares are</w:t>
      </w:r>
      <w:r w:rsidR="00F0774E">
        <w:rPr>
          <w:rFonts w:ascii="Times New Roman" w:hAnsi="Times New Roman" w:cs="Times New Roman"/>
        </w:rPr>
        <w:t xml:space="preserve"> known at </w:t>
      </w:r>
      <w:r w:rsidR="0069245F" w:rsidRPr="006344CA">
        <w:rPr>
          <w:rFonts w:ascii="Times New Roman" w:hAnsi="Times New Roman" w:cs="Times New Roman"/>
        </w:rPr>
        <w:t xml:space="preserve">the grant </w:t>
      </w:r>
      <w:r w:rsidR="0069245F" w:rsidRPr="00795463">
        <w:rPr>
          <w:rFonts w:ascii="Times New Roman" w:hAnsi="Times New Roman" w:cs="Times New Roman"/>
        </w:rPr>
        <w:t xml:space="preserve">date. Under </w:t>
      </w:r>
      <w:r w:rsidR="00D445F5">
        <w:rPr>
          <w:rFonts w:ascii="Times New Roman" w:hAnsi="Times New Roman" w:cs="Times New Roman"/>
        </w:rPr>
        <w:t>FAS 123R</w:t>
      </w:r>
      <w:r w:rsidR="0069245F" w:rsidRPr="00795463">
        <w:rPr>
          <w:rFonts w:ascii="Times New Roman" w:hAnsi="Times New Roman" w:cs="Times New Roman"/>
        </w:rPr>
        <w:t xml:space="preserve">, companies are required </w:t>
      </w:r>
      <w:r w:rsidR="0069245F" w:rsidRPr="006344CA">
        <w:rPr>
          <w:rFonts w:ascii="Times New Roman" w:hAnsi="Times New Roman" w:cs="Times New Roman"/>
        </w:rPr>
        <w:t xml:space="preserve">to expense all employee stock options using the </w:t>
      </w:r>
      <w:r w:rsidR="0026094D" w:rsidRPr="006344CA">
        <w:rPr>
          <w:rFonts w:ascii="Times New Roman" w:hAnsi="Times New Roman" w:cs="Times New Roman"/>
        </w:rPr>
        <w:t>fair</w:t>
      </w:r>
      <w:r w:rsidR="0050144D">
        <w:rPr>
          <w:rFonts w:ascii="Times New Roman" w:hAnsi="Times New Roman" w:cs="Times New Roman"/>
        </w:rPr>
        <w:t xml:space="preserve"> </w:t>
      </w:r>
      <w:r w:rsidR="0026094D" w:rsidRPr="006344CA">
        <w:rPr>
          <w:rFonts w:ascii="Times New Roman" w:hAnsi="Times New Roman" w:cs="Times New Roman"/>
        </w:rPr>
        <w:t>value method. Other equity –</w:t>
      </w:r>
      <w:r w:rsidR="003149ED">
        <w:rPr>
          <w:rFonts w:ascii="Times New Roman" w:hAnsi="Times New Roman" w:cs="Times New Roman"/>
        </w:rPr>
        <w:t xml:space="preserve"> </w:t>
      </w:r>
      <w:r w:rsidR="0026094D" w:rsidRPr="006344CA">
        <w:rPr>
          <w:rFonts w:ascii="Times New Roman" w:hAnsi="Times New Roman" w:cs="Times New Roman"/>
        </w:rPr>
        <w:t>based compensation w</w:t>
      </w:r>
      <w:r w:rsidR="001A1155">
        <w:rPr>
          <w:rFonts w:ascii="Times New Roman" w:hAnsi="Times New Roman" w:cs="Times New Roman"/>
        </w:rPr>
        <w:t>as</w:t>
      </w:r>
      <w:r w:rsidR="0026094D" w:rsidRPr="006344CA">
        <w:rPr>
          <w:rFonts w:ascii="Times New Roman" w:hAnsi="Times New Roman" w:cs="Times New Roman"/>
        </w:rPr>
        <w:t xml:space="preserve"> largely </w:t>
      </w:r>
      <w:r w:rsidR="0026094D" w:rsidRPr="006344CA">
        <w:rPr>
          <w:rFonts w:ascii="Times New Roman" w:hAnsi="Times New Roman" w:cs="Times New Roman"/>
        </w:rPr>
        <w:lastRenderedPageBreak/>
        <w:t xml:space="preserve">unaffected by this </w:t>
      </w:r>
      <w:r w:rsidR="001A1155">
        <w:rPr>
          <w:rFonts w:ascii="Times New Roman" w:hAnsi="Times New Roman" w:cs="Times New Roman"/>
        </w:rPr>
        <w:t xml:space="preserve">regulatory </w:t>
      </w:r>
      <w:r w:rsidR="0026094D" w:rsidRPr="006344CA">
        <w:rPr>
          <w:rFonts w:ascii="Times New Roman" w:hAnsi="Times New Roman" w:cs="Times New Roman"/>
        </w:rPr>
        <w:t>chang</w:t>
      </w:r>
      <w:r w:rsidR="009C3B46" w:rsidRPr="006344CA">
        <w:rPr>
          <w:rFonts w:ascii="Times New Roman" w:hAnsi="Times New Roman" w:cs="Times New Roman"/>
        </w:rPr>
        <w:t>e.</w:t>
      </w:r>
      <w:r w:rsidR="009C3B46" w:rsidRPr="006344CA">
        <w:rPr>
          <w:rStyle w:val="FootnoteReference"/>
          <w:rFonts w:ascii="Times New Roman" w:hAnsi="Times New Roman" w:cs="Times New Roman"/>
          <w:color w:val="000000" w:themeColor="text1"/>
        </w:rPr>
        <w:footnoteReference w:id="11"/>
      </w:r>
      <w:r w:rsidR="007D172A">
        <w:rPr>
          <w:rFonts w:ascii="Times New Roman" w:hAnsi="Times New Roman" w:cs="Times New Roman"/>
        </w:rPr>
        <w:t xml:space="preserve"> FAS 123R </w:t>
      </w:r>
      <w:r w:rsidR="003149ED">
        <w:rPr>
          <w:rFonts w:ascii="Times New Roman" w:hAnsi="Times New Roman" w:cs="Times New Roman"/>
        </w:rPr>
        <w:t xml:space="preserve">also </w:t>
      </w:r>
      <w:r w:rsidR="007D172A">
        <w:rPr>
          <w:rFonts w:ascii="Times New Roman" w:hAnsi="Times New Roman" w:cs="Times New Roman"/>
        </w:rPr>
        <w:t>did not affect the tax treatment of executive stock options.</w:t>
      </w:r>
    </w:p>
    <w:p w:rsidR="00B94C48" w:rsidRPr="008C5C8D" w:rsidRDefault="003149ED" w:rsidP="0050144D">
      <w:pPr>
        <w:autoSpaceDE w:val="0"/>
        <w:autoSpaceDN w:val="0"/>
        <w:adjustRightInd w:val="0"/>
        <w:spacing w:after="120" w:line="480" w:lineRule="auto"/>
        <w:ind w:firstLine="648"/>
        <w:jc w:val="both"/>
        <w:rPr>
          <w:rFonts w:ascii="Times New Roman" w:hAnsi="Times New Roman" w:cs="Times New Roman"/>
          <w:color w:val="FF0000"/>
        </w:rPr>
      </w:pPr>
      <w:r>
        <w:rPr>
          <w:rFonts w:ascii="Times New Roman" w:hAnsi="Times New Roman" w:cs="Times New Roman"/>
        </w:rPr>
        <w:t xml:space="preserve">In sum, the main consequence of the regulation change was to reduce the attractiveness of issuing executive </w:t>
      </w:r>
      <w:r w:rsidR="001A1155">
        <w:rPr>
          <w:rFonts w:ascii="Times New Roman" w:hAnsi="Times New Roman" w:cs="Times New Roman"/>
        </w:rPr>
        <w:t xml:space="preserve">stock </w:t>
      </w:r>
      <w:r>
        <w:rPr>
          <w:rFonts w:ascii="Times New Roman" w:hAnsi="Times New Roman" w:cs="Times New Roman"/>
        </w:rPr>
        <w:t xml:space="preserve">options </w:t>
      </w:r>
      <w:r w:rsidR="001A1155">
        <w:rPr>
          <w:rFonts w:ascii="Times New Roman" w:hAnsi="Times New Roman" w:cs="Times New Roman"/>
        </w:rPr>
        <w:t>for the vast majority of firms, i.e., those firms that previously elected the intrinsic value method</w:t>
      </w:r>
      <w:r>
        <w:rPr>
          <w:rFonts w:ascii="Times New Roman" w:hAnsi="Times New Roman" w:cs="Times New Roman"/>
        </w:rPr>
        <w:t>. It is no surprise</w:t>
      </w:r>
      <w:r w:rsidR="001A1155">
        <w:rPr>
          <w:rFonts w:ascii="Times New Roman" w:hAnsi="Times New Roman" w:cs="Times New Roman"/>
        </w:rPr>
        <w:t>,</w:t>
      </w:r>
      <w:r>
        <w:rPr>
          <w:rFonts w:ascii="Times New Roman" w:hAnsi="Times New Roman" w:cs="Times New Roman"/>
        </w:rPr>
        <w:t xml:space="preserve"> therefore</w:t>
      </w:r>
      <w:r w:rsidR="001A1155">
        <w:rPr>
          <w:rFonts w:ascii="Times New Roman" w:hAnsi="Times New Roman" w:cs="Times New Roman"/>
        </w:rPr>
        <w:t>,</w:t>
      </w:r>
      <w:r>
        <w:rPr>
          <w:rFonts w:ascii="Times New Roman" w:hAnsi="Times New Roman" w:cs="Times New Roman"/>
        </w:rPr>
        <w:t xml:space="preserve"> that </w:t>
      </w:r>
      <w:r w:rsidR="009A476C">
        <w:rPr>
          <w:rFonts w:ascii="Times New Roman" w:hAnsi="Times New Roman" w:cs="Times New Roman"/>
        </w:rPr>
        <w:t xml:space="preserve">option usage declined significantly </w:t>
      </w:r>
      <w:r>
        <w:rPr>
          <w:rFonts w:ascii="Times New Roman" w:hAnsi="Times New Roman" w:cs="Times New Roman"/>
        </w:rPr>
        <w:t xml:space="preserve">following the issuance </w:t>
      </w:r>
      <w:r w:rsidRPr="003149ED">
        <w:rPr>
          <w:rFonts w:ascii="Times New Roman" w:hAnsi="Times New Roman" w:cs="Times New Roman"/>
        </w:rPr>
        <w:t xml:space="preserve">of </w:t>
      </w:r>
      <w:r w:rsidR="00D445F5">
        <w:rPr>
          <w:rFonts w:ascii="Times New Roman" w:hAnsi="Times New Roman" w:cs="Times New Roman"/>
        </w:rPr>
        <w:t>FAS 123R</w:t>
      </w:r>
      <w:r w:rsidR="00B94C48">
        <w:rPr>
          <w:rFonts w:ascii="Times New Roman" w:hAnsi="Times New Roman" w:cs="Times New Roman"/>
        </w:rPr>
        <w:t xml:space="preserve">. Brown and Lee (2011) find that the median firm issued 36% fewer options after </w:t>
      </w:r>
      <w:r w:rsidR="00D445F5">
        <w:rPr>
          <w:rFonts w:ascii="Times New Roman" w:hAnsi="Times New Roman" w:cs="Times New Roman"/>
        </w:rPr>
        <w:t>FAS 123R</w:t>
      </w:r>
      <w:r w:rsidR="00B94C48">
        <w:rPr>
          <w:rFonts w:ascii="Times New Roman" w:hAnsi="Times New Roman" w:cs="Times New Roman"/>
        </w:rPr>
        <w:t>. Consistent with Lemmon et al. (2012)</w:t>
      </w:r>
      <w:r w:rsidR="001A1155">
        <w:rPr>
          <w:rFonts w:ascii="Times New Roman" w:hAnsi="Times New Roman" w:cs="Times New Roman"/>
        </w:rPr>
        <w:t>,</w:t>
      </w:r>
      <w:r w:rsidR="00B94C48">
        <w:rPr>
          <w:rFonts w:ascii="Times New Roman" w:hAnsi="Times New Roman" w:cs="Times New Roman"/>
        </w:rPr>
        <w:t xml:space="preserve"> we find that this results in a significant decrease in the</w:t>
      </w:r>
      <w:r w:rsidR="0050144D">
        <w:rPr>
          <w:rFonts w:ascii="Times New Roman" w:hAnsi="Times New Roman" w:cs="Times New Roman"/>
        </w:rPr>
        <w:t xml:space="preserve"> </w:t>
      </w:r>
      <w:r w:rsidR="00B94C48">
        <w:rPr>
          <w:rFonts w:ascii="Times New Roman" w:hAnsi="Times New Roman" w:cs="Times New Roman"/>
        </w:rPr>
        <w:t>CEO’s sensitivity to option volatility (</w:t>
      </w:r>
      <w:proofErr w:type="spellStart"/>
      <w:proofErr w:type="gramStart"/>
      <w:r w:rsidR="00B94C48">
        <w:rPr>
          <w:rFonts w:ascii="Times New Roman" w:hAnsi="Times New Roman" w:cs="Times New Roman"/>
        </w:rPr>
        <w:t>vega</w:t>
      </w:r>
      <w:proofErr w:type="spellEnd"/>
      <w:proofErr w:type="gramEnd"/>
      <w:r w:rsidR="00B94C48">
        <w:rPr>
          <w:rFonts w:ascii="Times New Roman" w:hAnsi="Times New Roman" w:cs="Times New Roman"/>
        </w:rPr>
        <w:t>) after the regulat</w:t>
      </w:r>
      <w:r w:rsidR="001A1155">
        <w:rPr>
          <w:rFonts w:ascii="Times New Roman" w:hAnsi="Times New Roman" w:cs="Times New Roman"/>
        </w:rPr>
        <w:t>ory</w:t>
      </w:r>
      <w:r w:rsidR="00B94C48">
        <w:rPr>
          <w:rFonts w:ascii="Times New Roman" w:hAnsi="Times New Roman" w:cs="Times New Roman"/>
        </w:rPr>
        <w:t xml:space="preserve"> change. Thus, the event had a large impact on CEO compensation</w:t>
      </w:r>
      <w:r w:rsidR="001A1155">
        <w:rPr>
          <w:rFonts w:ascii="Times New Roman" w:hAnsi="Times New Roman" w:cs="Times New Roman"/>
        </w:rPr>
        <w:t xml:space="preserve"> and created significant potential to impact CEO risk-taking incentives</w:t>
      </w:r>
      <w:r w:rsidR="00B94C48">
        <w:rPr>
          <w:rFonts w:ascii="Times New Roman" w:hAnsi="Times New Roman" w:cs="Times New Roman"/>
        </w:rPr>
        <w:t xml:space="preserve">. </w:t>
      </w:r>
    </w:p>
    <w:p w:rsidR="00053D5A" w:rsidRDefault="001A1155" w:rsidP="007C4E77">
      <w:pPr>
        <w:autoSpaceDE w:val="0"/>
        <w:autoSpaceDN w:val="0"/>
        <w:adjustRightInd w:val="0"/>
        <w:spacing w:after="120" w:line="480" w:lineRule="auto"/>
        <w:ind w:firstLine="648"/>
        <w:jc w:val="both"/>
        <w:rPr>
          <w:rFonts w:ascii="Times New Roman" w:hAnsi="Times New Roman" w:cs="Times New Roman"/>
        </w:rPr>
      </w:pPr>
      <w:r>
        <w:rPr>
          <w:rFonts w:ascii="Times New Roman" w:hAnsi="Times New Roman" w:cs="Times New Roman"/>
        </w:rPr>
        <w:t xml:space="preserve">It is common for </w:t>
      </w:r>
      <w:r w:rsidR="008C5C8D">
        <w:rPr>
          <w:rFonts w:ascii="Times New Roman" w:hAnsi="Times New Roman" w:cs="Times New Roman"/>
        </w:rPr>
        <w:t xml:space="preserve">firms </w:t>
      </w:r>
      <w:r>
        <w:rPr>
          <w:rFonts w:ascii="Times New Roman" w:hAnsi="Times New Roman" w:cs="Times New Roman"/>
        </w:rPr>
        <w:t xml:space="preserve">to </w:t>
      </w:r>
      <w:r w:rsidR="008C5C8D">
        <w:rPr>
          <w:rFonts w:ascii="Times New Roman" w:hAnsi="Times New Roman" w:cs="Times New Roman"/>
        </w:rPr>
        <w:t>lobby for</w:t>
      </w:r>
      <w:r>
        <w:rPr>
          <w:rFonts w:ascii="Times New Roman" w:hAnsi="Times New Roman" w:cs="Times New Roman"/>
        </w:rPr>
        <w:t xml:space="preserve"> or against</w:t>
      </w:r>
      <w:r w:rsidR="008C5C8D">
        <w:rPr>
          <w:rFonts w:ascii="Times New Roman" w:hAnsi="Times New Roman" w:cs="Times New Roman"/>
        </w:rPr>
        <w:t xml:space="preserve"> regulatory change – and such lobbying activity may be correlated with outcome variables. Such political economy concerns </w:t>
      </w:r>
      <w:r>
        <w:rPr>
          <w:rFonts w:ascii="Times New Roman" w:hAnsi="Times New Roman" w:cs="Times New Roman"/>
        </w:rPr>
        <w:t xml:space="preserve">have </w:t>
      </w:r>
      <w:r w:rsidR="006D5667">
        <w:rPr>
          <w:rFonts w:ascii="Times New Roman" w:hAnsi="Times New Roman" w:cs="Times New Roman"/>
        </w:rPr>
        <w:t xml:space="preserve">the </w:t>
      </w:r>
      <w:r>
        <w:rPr>
          <w:rFonts w:ascii="Times New Roman" w:hAnsi="Times New Roman" w:cs="Times New Roman"/>
        </w:rPr>
        <w:t xml:space="preserve">potential to </w:t>
      </w:r>
      <w:r w:rsidR="008C5C8D">
        <w:rPr>
          <w:rFonts w:ascii="Times New Roman" w:hAnsi="Times New Roman" w:cs="Times New Roman"/>
        </w:rPr>
        <w:t xml:space="preserve">reduce the effectiveness of the natural experiment in identifying causal effects and may lead to biased estimation. However, </w:t>
      </w:r>
      <w:r>
        <w:rPr>
          <w:rFonts w:ascii="Times New Roman" w:hAnsi="Times New Roman" w:cs="Times New Roman"/>
        </w:rPr>
        <w:t xml:space="preserve">we argue that </w:t>
      </w:r>
      <w:r w:rsidR="008C5C8D">
        <w:rPr>
          <w:rFonts w:ascii="Times New Roman" w:hAnsi="Times New Roman" w:cs="Times New Roman"/>
        </w:rPr>
        <w:t xml:space="preserve">such concerns are </w:t>
      </w:r>
      <w:r>
        <w:rPr>
          <w:rFonts w:ascii="Times New Roman" w:hAnsi="Times New Roman" w:cs="Times New Roman"/>
        </w:rPr>
        <w:t xml:space="preserve">unlikely to be critical </w:t>
      </w:r>
      <w:r w:rsidR="008C5C8D">
        <w:rPr>
          <w:rFonts w:ascii="Times New Roman" w:hAnsi="Times New Roman" w:cs="Times New Roman"/>
        </w:rPr>
        <w:t xml:space="preserve">in </w:t>
      </w:r>
      <w:r>
        <w:rPr>
          <w:rFonts w:ascii="Times New Roman" w:hAnsi="Times New Roman" w:cs="Times New Roman"/>
        </w:rPr>
        <w:t xml:space="preserve">our </w:t>
      </w:r>
      <w:r w:rsidR="008C5C8D">
        <w:rPr>
          <w:rFonts w:ascii="Times New Roman" w:hAnsi="Times New Roman" w:cs="Times New Roman"/>
        </w:rPr>
        <w:t>setting</w:t>
      </w:r>
      <w:r w:rsidR="00FE2E7D">
        <w:rPr>
          <w:rFonts w:ascii="Times New Roman" w:hAnsi="Times New Roman" w:cs="Times New Roman"/>
        </w:rPr>
        <w:t xml:space="preserve"> for </w:t>
      </w:r>
      <w:r w:rsidR="00C77432">
        <w:rPr>
          <w:rFonts w:ascii="Times New Roman" w:hAnsi="Times New Roman" w:cs="Times New Roman"/>
        </w:rPr>
        <w:t xml:space="preserve">two </w:t>
      </w:r>
      <w:r w:rsidR="00FE2E7D">
        <w:rPr>
          <w:rFonts w:ascii="Times New Roman" w:hAnsi="Times New Roman" w:cs="Times New Roman"/>
        </w:rPr>
        <w:t>reasons</w:t>
      </w:r>
      <w:r w:rsidR="008C5C8D">
        <w:rPr>
          <w:rFonts w:ascii="Times New Roman" w:hAnsi="Times New Roman" w:cs="Times New Roman"/>
        </w:rPr>
        <w:t xml:space="preserve">. First, </w:t>
      </w:r>
      <w:r w:rsidR="008F5738">
        <w:rPr>
          <w:rFonts w:ascii="Times New Roman" w:hAnsi="Times New Roman" w:cs="Times New Roman"/>
        </w:rPr>
        <w:t xml:space="preserve">most </w:t>
      </w:r>
      <w:r w:rsidR="008C5C8D">
        <w:rPr>
          <w:rFonts w:ascii="Times New Roman" w:hAnsi="Times New Roman" w:cs="Times New Roman"/>
        </w:rPr>
        <w:t>fi</w:t>
      </w:r>
      <w:r w:rsidR="008F5738">
        <w:rPr>
          <w:rFonts w:ascii="Times New Roman" w:hAnsi="Times New Roman" w:cs="Times New Roman"/>
        </w:rPr>
        <w:t>rms</w:t>
      </w:r>
      <w:r w:rsidR="008C5C8D">
        <w:rPr>
          <w:rFonts w:ascii="Times New Roman" w:hAnsi="Times New Roman" w:cs="Times New Roman"/>
        </w:rPr>
        <w:t xml:space="preserve"> </w:t>
      </w:r>
      <w:r w:rsidR="008F5738">
        <w:rPr>
          <w:rFonts w:ascii="Times New Roman" w:hAnsi="Times New Roman" w:cs="Times New Roman"/>
        </w:rPr>
        <w:t xml:space="preserve">had incentives to </w:t>
      </w:r>
      <w:r w:rsidR="008C5C8D">
        <w:rPr>
          <w:rFonts w:ascii="Times New Roman" w:hAnsi="Times New Roman" w:cs="Times New Roman"/>
        </w:rPr>
        <w:t>lobb</w:t>
      </w:r>
      <w:r w:rsidR="008F5738">
        <w:rPr>
          <w:rFonts w:ascii="Times New Roman" w:hAnsi="Times New Roman" w:cs="Times New Roman"/>
        </w:rPr>
        <w:t>y</w:t>
      </w:r>
      <w:r w:rsidR="008C5C8D">
        <w:rPr>
          <w:rFonts w:ascii="Times New Roman" w:hAnsi="Times New Roman" w:cs="Times New Roman"/>
        </w:rPr>
        <w:t xml:space="preserve"> against </w:t>
      </w:r>
      <w:r w:rsidR="008F5738">
        <w:rPr>
          <w:rFonts w:ascii="Times New Roman" w:hAnsi="Times New Roman" w:cs="Times New Roman"/>
        </w:rPr>
        <w:t xml:space="preserve">the adoption of </w:t>
      </w:r>
      <w:r w:rsidR="008C5C8D">
        <w:rPr>
          <w:rFonts w:ascii="Times New Roman" w:hAnsi="Times New Roman" w:cs="Times New Roman"/>
        </w:rPr>
        <w:t xml:space="preserve">FAS 123R. In fact, </w:t>
      </w:r>
      <w:r>
        <w:rPr>
          <w:rFonts w:ascii="Times New Roman" w:hAnsi="Times New Roman" w:cs="Times New Roman"/>
        </w:rPr>
        <w:t xml:space="preserve">in 1993, </w:t>
      </w:r>
      <w:r w:rsidR="0043577E">
        <w:rPr>
          <w:rFonts w:ascii="Times New Roman" w:hAnsi="Times New Roman" w:cs="Times New Roman"/>
        </w:rPr>
        <w:t xml:space="preserve">strong </w:t>
      </w:r>
      <w:r w:rsidR="008C5C8D">
        <w:rPr>
          <w:rFonts w:ascii="Times New Roman" w:hAnsi="Times New Roman" w:cs="Times New Roman"/>
        </w:rPr>
        <w:t xml:space="preserve">lobbying </w:t>
      </w:r>
      <w:r>
        <w:rPr>
          <w:rFonts w:ascii="Times New Roman" w:hAnsi="Times New Roman" w:cs="Times New Roman"/>
        </w:rPr>
        <w:t xml:space="preserve">against a </w:t>
      </w:r>
      <w:r w:rsidR="0043577E">
        <w:rPr>
          <w:rFonts w:ascii="Times New Roman" w:hAnsi="Times New Roman" w:cs="Times New Roman"/>
        </w:rPr>
        <w:t xml:space="preserve">contemplated </w:t>
      </w:r>
      <w:r w:rsidR="008C5C8D">
        <w:rPr>
          <w:rFonts w:ascii="Times New Roman" w:hAnsi="Times New Roman" w:cs="Times New Roman"/>
        </w:rPr>
        <w:t>regulatory reform similar to FAS 123R</w:t>
      </w:r>
      <w:r w:rsidR="0043577E">
        <w:rPr>
          <w:rFonts w:ascii="Times New Roman" w:hAnsi="Times New Roman" w:cs="Times New Roman"/>
        </w:rPr>
        <w:t xml:space="preserve"> led to a </w:t>
      </w:r>
      <w:r w:rsidR="008C5C8D">
        <w:rPr>
          <w:rFonts w:ascii="Times New Roman" w:hAnsi="Times New Roman" w:cs="Times New Roman"/>
        </w:rPr>
        <w:t>drastic water</w:t>
      </w:r>
      <w:r w:rsidR="0043577E">
        <w:rPr>
          <w:rFonts w:ascii="Times New Roman" w:hAnsi="Times New Roman" w:cs="Times New Roman"/>
        </w:rPr>
        <w:t>ing down of the proposed change</w:t>
      </w:r>
      <w:r w:rsidR="008C5C8D">
        <w:rPr>
          <w:rFonts w:ascii="Times New Roman" w:hAnsi="Times New Roman" w:cs="Times New Roman"/>
        </w:rPr>
        <w:t>. Second, even if some firms had incentives to lobby in favor of the reform (i.e.</w:t>
      </w:r>
      <w:r w:rsidR="0043577E">
        <w:rPr>
          <w:rFonts w:ascii="Times New Roman" w:hAnsi="Times New Roman" w:cs="Times New Roman"/>
        </w:rPr>
        <w:t>,</w:t>
      </w:r>
      <w:r w:rsidR="008C5C8D">
        <w:rPr>
          <w:rFonts w:ascii="Times New Roman" w:hAnsi="Times New Roman" w:cs="Times New Roman"/>
        </w:rPr>
        <w:t xml:space="preserve"> one could make a case that both our control groups would </w:t>
      </w:r>
      <w:r w:rsidR="0043577E">
        <w:rPr>
          <w:rFonts w:ascii="Times New Roman" w:hAnsi="Times New Roman" w:cs="Times New Roman"/>
        </w:rPr>
        <w:t xml:space="preserve">potentially </w:t>
      </w:r>
      <w:r w:rsidR="008C5C8D">
        <w:rPr>
          <w:rFonts w:ascii="Times New Roman" w:hAnsi="Times New Roman" w:cs="Times New Roman"/>
        </w:rPr>
        <w:t>obtain competitive benefits from FAS 123R</w:t>
      </w:r>
      <w:r w:rsidR="0096387A">
        <w:rPr>
          <w:rFonts w:ascii="Times New Roman" w:hAnsi="Times New Roman" w:cs="Times New Roman"/>
        </w:rPr>
        <w:t xml:space="preserve"> by its</w:t>
      </w:r>
      <w:r w:rsidR="004816B9">
        <w:rPr>
          <w:rFonts w:ascii="Times New Roman" w:hAnsi="Times New Roman" w:cs="Times New Roman"/>
        </w:rPr>
        <w:t xml:space="preserve"> elimination of the favorable accounting </w:t>
      </w:r>
      <w:r w:rsidR="0096387A">
        <w:rPr>
          <w:rFonts w:ascii="Times New Roman" w:hAnsi="Times New Roman" w:cs="Times New Roman"/>
        </w:rPr>
        <w:t>of options compensation availed of firms in the treatment group</w:t>
      </w:r>
      <w:r w:rsidR="008C5C8D">
        <w:rPr>
          <w:rFonts w:ascii="Times New Roman" w:hAnsi="Times New Roman" w:cs="Times New Roman"/>
        </w:rPr>
        <w:t xml:space="preserve">) it </w:t>
      </w:r>
      <w:r w:rsidR="004816B9">
        <w:rPr>
          <w:rFonts w:ascii="Times New Roman" w:hAnsi="Times New Roman" w:cs="Times New Roman"/>
        </w:rPr>
        <w:t xml:space="preserve">is </w:t>
      </w:r>
      <w:r w:rsidR="0096387A">
        <w:rPr>
          <w:rFonts w:ascii="Times New Roman" w:hAnsi="Times New Roman" w:cs="Times New Roman"/>
        </w:rPr>
        <w:t xml:space="preserve">difficult to </w:t>
      </w:r>
      <w:r w:rsidR="004816B9">
        <w:rPr>
          <w:rFonts w:ascii="Times New Roman" w:hAnsi="Times New Roman" w:cs="Times New Roman"/>
        </w:rPr>
        <w:t>i</w:t>
      </w:r>
      <w:r w:rsidR="0096387A">
        <w:rPr>
          <w:rFonts w:ascii="Times New Roman" w:hAnsi="Times New Roman" w:cs="Times New Roman"/>
        </w:rPr>
        <w:t xml:space="preserve">magine that </w:t>
      </w:r>
      <w:r w:rsidR="004816B9">
        <w:rPr>
          <w:rFonts w:ascii="Times New Roman" w:hAnsi="Times New Roman" w:cs="Times New Roman"/>
        </w:rPr>
        <w:t>any such inc</w:t>
      </w:r>
      <w:r w:rsidR="0096387A">
        <w:rPr>
          <w:rFonts w:ascii="Times New Roman" w:hAnsi="Times New Roman" w:cs="Times New Roman"/>
        </w:rPr>
        <w:t xml:space="preserve">entive would be correlated with </w:t>
      </w:r>
      <w:r w:rsidR="0043577E">
        <w:rPr>
          <w:rFonts w:ascii="Times New Roman" w:hAnsi="Times New Roman" w:cs="Times New Roman"/>
        </w:rPr>
        <w:t xml:space="preserve">their </w:t>
      </w:r>
      <w:r w:rsidR="008F5738">
        <w:rPr>
          <w:rFonts w:ascii="Times New Roman" w:hAnsi="Times New Roman" w:cs="Times New Roman"/>
        </w:rPr>
        <w:t>hedging</w:t>
      </w:r>
      <w:r w:rsidR="0043577E">
        <w:rPr>
          <w:rFonts w:ascii="Times New Roman" w:hAnsi="Times New Roman" w:cs="Times New Roman"/>
        </w:rPr>
        <w:t xml:space="preserve"> strategies</w:t>
      </w:r>
      <w:r w:rsidR="008F5738">
        <w:rPr>
          <w:rFonts w:ascii="Times New Roman" w:hAnsi="Times New Roman" w:cs="Times New Roman"/>
        </w:rPr>
        <w:t xml:space="preserve">. </w:t>
      </w:r>
    </w:p>
    <w:p w:rsidR="009A16AD" w:rsidRPr="00F06CFF" w:rsidRDefault="009A16AD" w:rsidP="007C4E77">
      <w:pPr>
        <w:pStyle w:val="ListParagraph"/>
        <w:keepNext/>
        <w:numPr>
          <w:ilvl w:val="0"/>
          <w:numId w:val="3"/>
        </w:numPr>
        <w:spacing w:after="0" w:line="480" w:lineRule="auto"/>
        <w:ind w:hanging="648"/>
        <w:jc w:val="both"/>
        <w:outlineLvl w:val="0"/>
        <w:rPr>
          <w:rFonts w:ascii="Times New Roman" w:eastAsia="Times New Roman" w:hAnsi="Times New Roman" w:cs="Times New Roman"/>
          <w:b/>
          <w:bCs/>
        </w:rPr>
      </w:pPr>
      <w:r>
        <w:rPr>
          <w:rFonts w:ascii="Times New Roman" w:eastAsia="Times New Roman" w:hAnsi="Times New Roman" w:cs="Times New Roman"/>
          <w:b/>
          <w:bCs/>
        </w:rPr>
        <w:t>Identification Strategy</w:t>
      </w:r>
    </w:p>
    <w:p w:rsidR="00A865C6" w:rsidRPr="007D172A" w:rsidRDefault="00A865C6" w:rsidP="007C4E77">
      <w:pPr>
        <w:autoSpaceDE w:val="0"/>
        <w:autoSpaceDN w:val="0"/>
        <w:adjustRightInd w:val="0"/>
        <w:spacing w:after="0" w:line="480" w:lineRule="auto"/>
        <w:jc w:val="both"/>
        <w:rPr>
          <w:rFonts w:ascii="Times New Roman" w:hAnsi="Times New Roman" w:cs="Times New Roman"/>
        </w:rPr>
      </w:pPr>
      <w:r>
        <w:rPr>
          <w:rFonts w:ascii="NewBaskerville-Roman" w:hAnsi="NewBaskerville-Roman" w:cs="NewBaskerville-Roman"/>
        </w:rPr>
        <w:tab/>
      </w:r>
      <w:r>
        <w:rPr>
          <w:rFonts w:ascii="Times New Roman" w:hAnsi="Times New Roman" w:cs="Times New Roman"/>
        </w:rPr>
        <w:t>Most studies that attempt to link</w:t>
      </w:r>
      <w:r w:rsidRPr="00A865C6">
        <w:rPr>
          <w:rFonts w:ascii="Times New Roman" w:hAnsi="Times New Roman" w:cs="Times New Roman"/>
        </w:rPr>
        <w:t xml:space="preserve"> </w:t>
      </w:r>
      <w:r>
        <w:rPr>
          <w:rFonts w:ascii="Times New Roman" w:hAnsi="Times New Roman" w:cs="Times New Roman"/>
        </w:rPr>
        <w:t xml:space="preserve">executive compensation </w:t>
      </w:r>
      <w:r w:rsidR="0043577E">
        <w:rPr>
          <w:rFonts w:ascii="Times New Roman" w:hAnsi="Times New Roman" w:cs="Times New Roman"/>
        </w:rPr>
        <w:t xml:space="preserve">with </w:t>
      </w:r>
      <w:r>
        <w:rPr>
          <w:rFonts w:ascii="Times New Roman" w:hAnsi="Times New Roman" w:cs="Times New Roman"/>
        </w:rPr>
        <w:t xml:space="preserve">hedging suffer from </w:t>
      </w:r>
      <w:proofErr w:type="spellStart"/>
      <w:r>
        <w:rPr>
          <w:rFonts w:ascii="Times New Roman" w:hAnsi="Times New Roman" w:cs="Times New Roman"/>
        </w:rPr>
        <w:t>endogenity</w:t>
      </w:r>
      <w:proofErr w:type="spellEnd"/>
      <w:r>
        <w:rPr>
          <w:rFonts w:ascii="Times New Roman" w:hAnsi="Times New Roman" w:cs="Times New Roman"/>
        </w:rPr>
        <w:t xml:space="preserve"> caused by </w:t>
      </w:r>
      <w:r w:rsidRPr="00A865C6">
        <w:rPr>
          <w:rFonts w:ascii="Times New Roman" w:hAnsi="Times New Roman" w:cs="Times New Roman"/>
        </w:rPr>
        <w:t xml:space="preserve">omitted variables, selection and simultaneity. </w:t>
      </w:r>
      <w:r w:rsidRPr="004049A6">
        <w:rPr>
          <w:rFonts w:ascii="Times New Roman" w:hAnsi="Times New Roman" w:cs="Times New Roman"/>
        </w:rPr>
        <w:t xml:space="preserve">Knopf, Nam and Thornton (2002), Rogers (2002), </w:t>
      </w:r>
      <w:proofErr w:type="spellStart"/>
      <w:r w:rsidRPr="004049A6">
        <w:rPr>
          <w:rFonts w:ascii="Times New Roman" w:hAnsi="Times New Roman" w:cs="Times New Roman"/>
        </w:rPr>
        <w:t>Rajgopal</w:t>
      </w:r>
      <w:proofErr w:type="spellEnd"/>
      <w:r w:rsidRPr="004049A6">
        <w:rPr>
          <w:rFonts w:ascii="Times New Roman" w:hAnsi="Times New Roman" w:cs="Times New Roman"/>
        </w:rPr>
        <w:t xml:space="preserve"> and </w:t>
      </w:r>
      <w:proofErr w:type="spellStart"/>
      <w:r w:rsidRPr="004049A6">
        <w:rPr>
          <w:rFonts w:ascii="Times New Roman" w:hAnsi="Times New Roman" w:cs="Times New Roman"/>
        </w:rPr>
        <w:t>Shevlin</w:t>
      </w:r>
      <w:proofErr w:type="spellEnd"/>
      <w:r w:rsidRPr="004049A6">
        <w:rPr>
          <w:rFonts w:ascii="Times New Roman" w:hAnsi="Times New Roman" w:cs="Times New Roman"/>
        </w:rPr>
        <w:t xml:space="preserve"> (2002)</w:t>
      </w:r>
      <w:r>
        <w:rPr>
          <w:rFonts w:ascii="Times New Roman" w:hAnsi="Times New Roman" w:cs="Times New Roman"/>
        </w:rPr>
        <w:t xml:space="preserve"> and </w:t>
      </w:r>
      <w:r w:rsidRPr="004049A6">
        <w:rPr>
          <w:rFonts w:ascii="Times New Roman" w:hAnsi="Times New Roman" w:cs="Times New Roman"/>
        </w:rPr>
        <w:t xml:space="preserve">Chen, Jin and Wen </w:t>
      </w:r>
      <w:r>
        <w:rPr>
          <w:rFonts w:ascii="Times New Roman" w:hAnsi="Times New Roman" w:cs="Times New Roman"/>
        </w:rPr>
        <w:t xml:space="preserve">(2010) all find a significant association </w:t>
      </w:r>
      <w:r>
        <w:rPr>
          <w:rFonts w:ascii="Times New Roman" w:hAnsi="Times New Roman" w:cs="Times New Roman"/>
        </w:rPr>
        <w:lastRenderedPageBreak/>
        <w:t xml:space="preserve">between executive compensation and corporate hedging. However, none of the above studies are able to convincingly draw a causal inference. </w:t>
      </w:r>
      <w:r w:rsidR="007D172A">
        <w:rPr>
          <w:rFonts w:ascii="Times New Roman" w:hAnsi="Times New Roman" w:cs="Times New Roman"/>
        </w:rPr>
        <w:t xml:space="preserve">For instance, </w:t>
      </w:r>
      <w:r>
        <w:rPr>
          <w:rFonts w:ascii="Times New Roman" w:hAnsi="Times New Roman" w:cs="Times New Roman"/>
        </w:rPr>
        <w:t>CEOs compensation</w:t>
      </w:r>
      <w:r w:rsidR="007D172A">
        <w:rPr>
          <w:rFonts w:ascii="Times New Roman" w:hAnsi="Times New Roman" w:cs="Times New Roman"/>
        </w:rPr>
        <w:t xml:space="preserve">, </w:t>
      </w:r>
      <w:r>
        <w:rPr>
          <w:rFonts w:ascii="Times New Roman" w:hAnsi="Times New Roman" w:cs="Times New Roman"/>
        </w:rPr>
        <w:t xml:space="preserve">corporate hedging </w:t>
      </w:r>
      <w:r w:rsidR="007D172A">
        <w:rPr>
          <w:rFonts w:ascii="Times New Roman" w:hAnsi="Times New Roman" w:cs="Times New Roman"/>
        </w:rPr>
        <w:t xml:space="preserve">and many other important corporate </w:t>
      </w:r>
      <w:r>
        <w:rPr>
          <w:rFonts w:ascii="Times New Roman" w:hAnsi="Times New Roman" w:cs="Times New Roman"/>
        </w:rPr>
        <w:t>decisions are made simultaneously</w:t>
      </w:r>
      <w:r w:rsidR="007D172A">
        <w:rPr>
          <w:rFonts w:ascii="Times New Roman" w:hAnsi="Times New Roman" w:cs="Times New Roman"/>
        </w:rPr>
        <w:t xml:space="preserve"> making </w:t>
      </w:r>
      <w:r>
        <w:rPr>
          <w:rFonts w:ascii="Times New Roman" w:hAnsi="Times New Roman" w:cs="Times New Roman"/>
        </w:rPr>
        <w:t xml:space="preserve">it hard to tease out causal interpretations. </w:t>
      </w:r>
      <w:r w:rsidR="007D172A">
        <w:rPr>
          <w:rFonts w:ascii="Times New Roman" w:hAnsi="Times New Roman" w:cs="Times New Roman"/>
        </w:rPr>
        <w:t xml:space="preserve">In addition, </w:t>
      </w:r>
      <w:r w:rsidR="00110FED">
        <w:rPr>
          <w:rFonts w:ascii="Times New Roman" w:hAnsi="Times New Roman" w:cs="Times New Roman"/>
        </w:rPr>
        <w:t>many</w:t>
      </w:r>
      <w:r>
        <w:rPr>
          <w:rFonts w:ascii="Times New Roman" w:hAnsi="Times New Roman" w:cs="Times New Roman"/>
        </w:rPr>
        <w:t xml:space="preserve"> firm characteristics such as the strength of corporate governance and unobservable CEO characteristics could affect both how a firm sets the CEOs compensation and the choice of hedging. Omitting or relying on poor proxies for these variables in hedging regressions can significantly bias the coefficient estimates and lead to unreliable inference. </w:t>
      </w:r>
      <w:r w:rsidR="00110FED">
        <w:rPr>
          <w:rFonts w:ascii="Times New Roman" w:hAnsi="Times New Roman" w:cs="Times New Roman"/>
        </w:rPr>
        <w:t>Further, i</w:t>
      </w:r>
      <w:r w:rsidR="007D172A">
        <w:rPr>
          <w:rFonts w:ascii="Times New Roman" w:hAnsi="Times New Roman" w:cs="Times New Roman"/>
        </w:rPr>
        <w:t xml:space="preserve">n the managerial labor market, CEOs optimally select firms that are offer compensation contracts that are compatible with CEO attributes. </w:t>
      </w:r>
      <w:r w:rsidR="00110FED">
        <w:rPr>
          <w:rFonts w:ascii="Times New Roman" w:hAnsi="Times New Roman" w:cs="Times New Roman"/>
        </w:rPr>
        <w:t>An example of this is that</w:t>
      </w:r>
      <w:r w:rsidR="007D172A">
        <w:rPr>
          <w:rFonts w:ascii="Times New Roman" w:hAnsi="Times New Roman" w:cs="Times New Roman"/>
        </w:rPr>
        <w:t xml:space="preserve"> CEO risk aversion may determine both the hedging decisions as well as which firm the CEO chooses to join. This selection bias may also lead to an endogenous relationship between and corporate hedging and CEO compensation. To overcome these challenges and make causal claims one requires a different empirical approach.  </w:t>
      </w:r>
    </w:p>
    <w:p w:rsidR="00A865C6" w:rsidRDefault="00A865C6" w:rsidP="007C4E77">
      <w:pPr>
        <w:autoSpaceDE w:val="0"/>
        <w:autoSpaceDN w:val="0"/>
        <w:adjustRightInd w:val="0"/>
        <w:spacing w:after="0" w:line="480" w:lineRule="auto"/>
        <w:jc w:val="both"/>
        <w:rPr>
          <w:rFonts w:ascii="Times New Roman" w:hAnsi="Times New Roman" w:cs="Times New Roman"/>
        </w:rPr>
      </w:pPr>
      <w:r>
        <w:rPr>
          <w:rFonts w:ascii="NewBaskerville-Roman" w:hAnsi="NewBaskerville-Roman" w:cs="NewBaskerville-Roman"/>
        </w:rPr>
        <w:tab/>
      </w:r>
      <w:r>
        <w:rPr>
          <w:rFonts w:ascii="Times New Roman" w:hAnsi="Times New Roman" w:cs="Times New Roman"/>
        </w:rPr>
        <w:t xml:space="preserve">The implementation of regulation FAS 123R in 2005 allows us </w:t>
      </w:r>
      <w:r w:rsidRPr="00A865C6">
        <w:rPr>
          <w:rFonts w:ascii="Times New Roman" w:hAnsi="Times New Roman" w:cs="Times New Roman"/>
        </w:rPr>
        <w:t>to take advantage of a source of exogenous variation in</w:t>
      </w:r>
      <w:r>
        <w:rPr>
          <w:rFonts w:ascii="Times New Roman" w:hAnsi="Times New Roman" w:cs="Times New Roman"/>
        </w:rPr>
        <w:t xml:space="preserve"> </w:t>
      </w:r>
      <w:r w:rsidRPr="00B0608C">
        <w:rPr>
          <w:rFonts w:ascii="Times New Roman" w:hAnsi="Times New Roman" w:cs="Times New Roman"/>
        </w:rPr>
        <w:t>executive compensation contracts</w:t>
      </w:r>
      <w:r w:rsidR="00B0608C" w:rsidRPr="00B0608C">
        <w:rPr>
          <w:rFonts w:ascii="Times New Roman" w:hAnsi="Times New Roman" w:cs="Times New Roman"/>
        </w:rPr>
        <w:t>, more specif</w:t>
      </w:r>
      <w:r w:rsidR="00B0608C">
        <w:rPr>
          <w:rFonts w:ascii="Times New Roman" w:hAnsi="Times New Roman" w:cs="Times New Roman"/>
        </w:rPr>
        <w:t>ically in CEOs option pay.</w:t>
      </w:r>
      <w:r w:rsidRPr="00B0608C">
        <w:rPr>
          <w:rFonts w:ascii="Times New Roman" w:hAnsi="Times New Roman" w:cs="Times New Roman"/>
        </w:rPr>
        <w:t xml:space="preserve"> That is</w:t>
      </w:r>
      <w:r w:rsidR="007D172A" w:rsidRPr="00B0608C">
        <w:rPr>
          <w:rFonts w:ascii="Times New Roman" w:hAnsi="Times New Roman" w:cs="Times New Roman"/>
        </w:rPr>
        <w:t xml:space="preserve"> in response to FAS 123R</w:t>
      </w:r>
      <w:r w:rsidR="00110FED" w:rsidRPr="00B0608C">
        <w:rPr>
          <w:rFonts w:ascii="Times New Roman" w:hAnsi="Times New Roman" w:cs="Times New Roman"/>
        </w:rPr>
        <w:t>, firms</w:t>
      </w:r>
      <w:r w:rsidR="007D172A" w:rsidRPr="00B0608C">
        <w:rPr>
          <w:rFonts w:ascii="Times New Roman" w:hAnsi="Times New Roman" w:cs="Times New Roman"/>
        </w:rPr>
        <w:t xml:space="preserve"> </w:t>
      </w:r>
      <w:r w:rsidRPr="00B0608C">
        <w:rPr>
          <w:rFonts w:ascii="Times New Roman" w:hAnsi="Times New Roman" w:cs="Times New Roman"/>
        </w:rPr>
        <w:t>significantly redu</w:t>
      </w:r>
      <w:r>
        <w:rPr>
          <w:rFonts w:ascii="Times New Roman" w:hAnsi="Times New Roman" w:cs="Times New Roman"/>
        </w:rPr>
        <w:t>ced the number of options granted to executives thus reducing the convexity of the contracts (</w:t>
      </w:r>
      <w:proofErr w:type="spellStart"/>
      <w:proofErr w:type="gramStart"/>
      <w:r>
        <w:rPr>
          <w:rFonts w:ascii="Times New Roman" w:hAnsi="Times New Roman" w:cs="Times New Roman"/>
        </w:rPr>
        <w:t>vegas</w:t>
      </w:r>
      <w:proofErr w:type="spellEnd"/>
      <w:proofErr w:type="gramEnd"/>
      <w:r>
        <w:rPr>
          <w:rFonts w:ascii="Times New Roman" w:hAnsi="Times New Roman" w:cs="Times New Roman"/>
        </w:rPr>
        <w:t>)</w:t>
      </w:r>
      <w:r w:rsidRPr="00A865C6">
        <w:rPr>
          <w:rFonts w:ascii="Times New Roman" w:hAnsi="Times New Roman" w:cs="Times New Roman"/>
        </w:rPr>
        <w:t>.</w:t>
      </w:r>
      <w:r>
        <w:rPr>
          <w:rFonts w:ascii="Times New Roman" w:hAnsi="Times New Roman" w:cs="Times New Roman"/>
        </w:rPr>
        <w:t xml:space="preserve"> In others </w:t>
      </w:r>
      <w:r w:rsidR="007D172A">
        <w:rPr>
          <w:rFonts w:ascii="Times New Roman" w:hAnsi="Times New Roman" w:cs="Times New Roman"/>
        </w:rPr>
        <w:t xml:space="preserve">words, </w:t>
      </w:r>
      <w:r>
        <w:rPr>
          <w:rFonts w:ascii="Times New Roman" w:hAnsi="Times New Roman" w:cs="Times New Roman"/>
        </w:rPr>
        <w:t>th</w:t>
      </w:r>
      <w:r w:rsidR="007D172A">
        <w:rPr>
          <w:rFonts w:ascii="Times New Roman" w:hAnsi="Times New Roman" w:cs="Times New Roman"/>
        </w:rPr>
        <w:t>is</w:t>
      </w:r>
      <w:r>
        <w:rPr>
          <w:rFonts w:ascii="Times New Roman" w:hAnsi="Times New Roman" w:cs="Times New Roman"/>
        </w:rPr>
        <w:t xml:space="preserve"> event</w:t>
      </w:r>
      <w:r w:rsidR="007D172A">
        <w:rPr>
          <w:rFonts w:ascii="Times New Roman" w:hAnsi="Times New Roman" w:cs="Times New Roman"/>
        </w:rPr>
        <w:t xml:space="preserve"> constitutes an exogenous shock to CEO </w:t>
      </w:r>
      <w:r w:rsidR="00B0608C">
        <w:rPr>
          <w:rFonts w:ascii="Times New Roman" w:hAnsi="Times New Roman" w:cs="Times New Roman"/>
        </w:rPr>
        <w:t>willingness to take risks</w:t>
      </w:r>
      <w:r w:rsidR="007D172A">
        <w:rPr>
          <w:rFonts w:ascii="Times New Roman" w:hAnsi="Times New Roman" w:cs="Times New Roman"/>
        </w:rPr>
        <w:t xml:space="preserve"> due to this marked</w:t>
      </w:r>
      <w:r>
        <w:rPr>
          <w:rFonts w:ascii="Times New Roman" w:hAnsi="Times New Roman" w:cs="Times New Roman"/>
        </w:rPr>
        <w:t xml:space="preserve"> reduction in </w:t>
      </w:r>
      <w:proofErr w:type="spellStart"/>
      <w:proofErr w:type="gramStart"/>
      <w:r>
        <w:rPr>
          <w:rFonts w:ascii="Times New Roman" w:hAnsi="Times New Roman" w:cs="Times New Roman"/>
        </w:rPr>
        <w:t>vegas</w:t>
      </w:r>
      <w:proofErr w:type="spellEnd"/>
      <w:proofErr w:type="gramEnd"/>
      <w:r>
        <w:rPr>
          <w:rFonts w:ascii="Times New Roman" w:hAnsi="Times New Roman" w:cs="Times New Roman"/>
        </w:rPr>
        <w:t>.</w:t>
      </w:r>
      <w:r w:rsidRPr="00A865C6">
        <w:rPr>
          <w:rFonts w:ascii="Times New Roman" w:hAnsi="Times New Roman" w:cs="Times New Roman"/>
        </w:rPr>
        <w:t xml:space="preserve"> </w:t>
      </w:r>
      <w:r w:rsidR="007D172A">
        <w:rPr>
          <w:rFonts w:ascii="Times New Roman" w:hAnsi="Times New Roman" w:cs="Times New Roman"/>
        </w:rPr>
        <w:t>Importantly</w:t>
      </w:r>
      <w:r w:rsidR="00110FED">
        <w:rPr>
          <w:rFonts w:ascii="Times New Roman" w:hAnsi="Times New Roman" w:cs="Times New Roman"/>
        </w:rPr>
        <w:t>, as we explain in greater detail in the previous section,</w:t>
      </w:r>
      <w:r w:rsidR="007D172A">
        <w:rPr>
          <w:rFonts w:ascii="Times New Roman" w:hAnsi="Times New Roman" w:cs="Times New Roman"/>
        </w:rPr>
        <w:t xml:space="preserve"> this shock is exogenous to hedging. This allows us to identify the causal effect of </w:t>
      </w:r>
      <w:r w:rsidR="00110FED" w:rsidRPr="004049A6">
        <w:rPr>
          <w:rFonts w:ascii="Times New Roman" w:hAnsi="Times New Roman" w:cs="Times New Roman"/>
        </w:rPr>
        <w:t>executive stock option grants</w:t>
      </w:r>
      <w:r w:rsidR="00110FED">
        <w:rPr>
          <w:rFonts w:ascii="Times New Roman" w:hAnsi="Times New Roman" w:cs="Times New Roman"/>
        </w:rPr>
        <w:t xml:space="preserve"> on corporate hedging.  </w:t>
      </w:r>
    </w:p>
    <w:p w:rsidR="00A865C6" w:rsidRPr="00A865C6" w:rsidRDefault="00A865C6" w:rsidP="007C4E77">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r>
      <w:r w:rsidRPr="00A865C6">
        <w:rPr>
          <w:rFonts w:ascii="Times New Roman" w:hAnsi="Times New Roman" w:cs="Times New Roman"/>
        </w:rPr>
        <w:t>However,</w:t>
      </w:r>
      <w:r>
        <w:rPr>
          <w:rFonts w:ascii="Times New Roman" w:hAnsi="Times New Roman" w:cs="Times New Roman"/>
        </w:rPr>
        <w:t xml:space="preserve"> as the shock to executive compensation contracts may have coincided with</w:t>
      </w:r>
      <w:r w:rsidR="00110FED">
        <w:rPr>
          <w:rFonts w:ascii="Times New Roman" w:hAnsi="Times New Roman" w:cs="Times New Roman"/>
        </w:rPr>
        <w:t xml:space="preserve"> other factors that impact hedging</w:t>
      </w:r>
      <w:r>
        <w:rPr>
          <w:rFonts w:ascii="Times New Roman" w:hAnsi="Times New Roman" w:cs="Times New Roman"/>
        </w:rPr>
        <w:t xml:space="preserve"> it is not suffi</w:t>
      </w:r>
      <w:r w:rsidRPr="00A865C6">
        <w:rPr>
          <w:rFonts w:ascii="Times New Roman" w:hAnsi="Times New Roman" w:cs="Times New Roman"/>
        </w:rPr>
        <w:t>ci</w:t>
      </w:r>
      <w:r w:rsidR="00110FED">
        <w:rPr>
          <w:rFonts w:ascii="Times New Roman" w:hAnsi="Times New Roman" w:cs="Times New Roman"/>
        </w:rPr>
        <w:t>ent to compare hedging</w:t>
      </w:r>
      <w:r w:rsidRPr="00A865C6">
        <w:rPr>
          <w:rFonts w:ascii="Times New Roman" w:hAnsi="Times New Roman" w:cs="Times New Roman"/>
        </w:rPr>
        <w:t xml:space="preserve"> before and after the</w:t>
      </w:r>
      <w:r>
        <w:rPr>
          <w:rFonts w:ascii="Times New Roman" w:hAnsi="Times New Roman" w:cs="Times New Roman"/>
        </w:rPr>
        <w:t xml:space="preserve"> </w:t>
      </w:r>
      <w:r w:rsidR="00110FED">
        <w:rPr>
          <w:rFonts w:ascii="Times New Roman" w:hAnsi="Times New Roman" w:cs="Times New Roman"/>
        </w:rPr>
        <w:t>regulation event. For instance, hedging may be affected by unobservable shocks during the event period to management’s expectation of future oil price volatility</w:t>
      </w:r>
      <w:r w:rsidRPr="00A865C6">
        <w:rPr>
          <w:rFonts w:ascii="Times New Roman" w:hAnsi="Times New Roman" w:cs="Times New Roman"/>
        </w:rPr>
        <w:t>. It is</w:t>
      </w:r>
      <w:r>
        <w:rPr>
          <w:rFonts w:ascii="Times New Roman" w:hAnsi="Times New Roman" w:cs="Times New Roman"/>
        </w:rPr>
        <w:t xml:space="preserve"> </w:t>
      </w:r>
      <w:r w:rsidR="00110FED">
        <w:rPr>
          <w:rFonts w:ascii="Times New Roman" w:hAnsi="Times New Roman" w:cs="Times New Roman"/>
        </w:rPr>
        <w:t>therefore critical</w:t>
      </w:r>
      <w:r>
        <w:rPr>
          <w:rFonts w:ascii="Times New Roman" w:hAnsi="Times New Roman" w:cs="Times New Roman"/>
        </w:rPr>
        <w:t xml:space="preserve"> to carefully disentangle the eff</w:t>
      </w:r>
      <w:r w:rsidR="00110FED">
        <w:rPr>
          <w:rFonts w:ascii="Times New Roman" w:hAnsi="Times New Roman" w:cs="Times New Roman"/>
        </w:rPr>
        <w:t xml:space="preserve">ects of such shocks that might impact hedging from the effect of the changes in </w:t>
      </w:r>
      <w:proofErr w:type="spellStart"/>
      <w:proofErr w:type="gramStart"/>
      <w:r w:rsidR="00110FED">
        <w:rPr>
          <w:rFonts w:ascii="Times New Roman" w:hAnsi="Times New Roman" w:cs="Times New Roman"/>
        </w:rPr>
        <w:t>vega</w:t>
      </w:r>
      <w:proofErr w:type="spellEnd"/>
      <w:proofErr w:type="gramEnd"/>
      <w:r w:rsidRPr="00A865C6">
        <w:rPr>
          <w:rFonts w:ascii="Times New Roman" w:hAnsi="Times New Roman" w:cs="Times New Roman"/>
        </w:rPr>
        <w:t>. To do thi</w:t>
      </w:r>
      <w:r w:rsidR="00110FED">
        <w:rPr>
          <w:rFonts w:ascii="Times New Roman" w:hAnsi="Times New Roman" w:cs="Times New Roman"/>
        </w:rPr>
        <w:t>s we</w:t>
      </w:r>
      <w:r>
        <w:rPr>
          <w:rFonts w:ascii="Times New Roman" w:hAnsi="Times New Roman" w:cs="Times New Roman"/>
        </w:rPr>
        <w:t xml:space="preserve"> implement a difference-in-diff</w:t>
      </w:r>
      <w:r w:rsidRPr="00A865C6">
        <w:rPr>
          <w:rFonts w:ascii="Times New Roman" w:hAnsi="Times New Roman" w:cs="Times New Roman"/>
        </w:rPr>
        <w:t>erences (DID) empirical design.</w:t>
      </w:r>
    </w:p>
    <w:p w:rsidR="009A16AD" w:rsidRDefault="00110FED" w:rsidP="007C4E77">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lastRenderedPageBreak/>
        <w:tab/>
      </w:r>
      <w:r w:rsidR="00A865C6">
        <w:rPr>
          <w:rFonts w:ascii="Times New Roman" w:hAnsi="Times New Roman" w:cs="Times New Roman"/>
        </w:rPr>
        <w:t>Intuitively, DID compares the eff</w:t>
      </w:r>
      <w:r w:rsidR="00A865C6" w:rsidRPr="00A865C6">
        <w:rPr>
          <w:rFonts w:ascii="Times New Roman" w:hAnsi="Times New Roman" w:cs="Times New Roman"/>
        </w:rPr>
        <w:t xml:space="preserve">ect on an event </w:t>
      </w:r>
      <w:r>
        <w:rPr>
          <w:rFonts w:ascii="Times New Roman" w:hAnsi="Times New Roman" w:cs="Times New Roman"/>
        </w:rPr>
        <w:t>(regulation FAS 123R in this study</w:t>
      </w:r>
      <w:r w:rsidR="00A865C6" w:rsidRPr="00A865C6">
        <w:rPr>
          <w:rFonts w:ascii="Times New Roman" w:hAnsi="Times New Roman" w:cs="Times New Roman"/>
        </w:rPr>
        <w:t>) on a group</w:t>
      </w:r>
      <w:r>
        <w:rPr>
          <w:rFonts w:ascii="Times New Roman" w:hAnsi="Times New Roman" w:cs="Times New Roman"/>
        </w:rPr>
        <w:t xml:space="preserve"> </w:t>
      </w:r>
      <w:r w:rsidR="00A865C6">
        <w:rPr>
          <w:rFonts w:ascii="Times New Roman" w:hAnsi="Times New Roman" w:cs="Times New Roman"/>
        </w:rPr>
        <w:t>that is aff</w:t>
      </w:r>
      <w:r w:rsidR="00A865C6" w:rsidRPr="00A865C6">
        <w:rPr>
          <w:rFonts w:ascii="Times New Roman" w:hAnsi="Times New Roman" w:cs="Times New Roman"/>
        </w:rPr>
        <w:t>ected by the event (the treate</w:t>
      </w:r>
      <w:r w:rsidR="00A865C6">
        <w:rPr>
          <w:rFonts w:ascii="Times New Roman" w:hAnsi="Times New Roman" w:cs="Times New Roman"/>
        </w:rPr>
        <w:t>d group) to a group that is unaff</w:t>
      </w:r>
      <w:r w:rsidR="00A865C6" w:rsidRPr="00A865C6">
        <w:rPr>
          <w:rFonts w:ascii="Times New Roman" w:hAnsi="Times New Roman" w:cs="Times New Roman"/>
        </w:rPr>
        <w:t>ected (the control group).</w:t>
      </w:r>
      <w:r w:rsidR="005E6D11">
        <w:rPr>
          <w:rFonts w:ascii="Times New Roman" w:hAnsi="Times New Roman" w:cs="Times New Roman"/>
        </w:rPr>
        <w:t xml:space="preserve"> </w:t>
      </w:r>
      <w:r>
        <w:rPr>
          <w:rFonts w:ascii="Times New Roman" w:hAnsi="Times New Roman" w:cs="Times New Roman"/>
        </w:rPr>
        <w:t>To fi</w:t>
      </w:r>
      <w:r w:rsidR="00A865C6">
        <w:rPr>
          <w:rFonts w:ascii="Times New Roman" w:hAnsi="Times New Roman" w:cs="Times New Roman"/>
        </w:rPr>
        <w:t>nd the eff</w:t>
      </w:r>
      <w:r w:rsidR="00A865C6" w:rsidRPr="00A865C6">
        <w:rPr>
          <w:rFonts w:ascii="Times New Roman" w:hAnsi="Times New Roman" w:cs="Times New Roman"/>
        </w:rPr>
        <w:t>ect o</w:t>
      </w:r>
      <w:r>
        <w:rPr>
          <w:rFonts w:ascii="Times New Roman" w:hAnsi="Times New Roman" w:cs="Times New Roman"/>
        </w:rPr>
        <w:t>f the event on hedging</w:t>
      </w:r>
      <w:r w:rsidR="00A865C6" w:rsidRPr="00A865C6">
        <w:rPr>
          <w:rFonts w:ascii="Times New Roman" w:hAnsi="Times New Roman" w:cs="Times New Roman"/>
        </w:rPr>
        <w:t xml:space="preserve"> we can subtra</w:t>
      </w:r>
      <w:r>
        <w:rPr>
          <w:rFonts w:ascii="Times New Roman" w:hAnsi="Times New Roman" w:cs="Times New Roman"/>
        </w:rPr>
        <w:t xml:space="preserve">ct the firm’s hedge ratio </w:t>
      </w:r>
      <w:r w:rsidR="00A865C6" w:rsidRPr="00A865C6">
        <w:rPr>
          <w:rFonts w:ascii="Times New Roman" w:hAnsi="Times New Roman" w:cs="Times New Roman"/>
        </w:rPr>
        <w:t>before the ev</w:t>
      </w:r>
      <w:r>
        <w:rPr>
          <w:rFonts w:ascii="Times New Roman" w:hAnsi="Times New Roman" w:cs="Times New Roman"/>
        </w:rPr>
        <w:t>ent from the firm’s hedge ratio</w:t>
      </w:r>
      <w:r w:rsidR="00A865C6">
        <w:rPr>
          <w:rFonts w:ascii="Times New Roman" w:hAnsi="Times New Roman" w:cs="Times New Roman"/>
        </w:rPr>
        <w:t xml:space="preserve"> after the event. This diff</w:t>
      </w:r>
      <w:r w:rsidR="00A865C6" w:rsidRPr="00A865C6">
        <w:rPr>
          <w:rFonts w:ascii="Times New Roman" w:hAnsi="Times New Roman" w:cs="Times New Roman"/>
        </w:rPr>
        <w:t>erence gives the</w:t>
      </w:r>
      <w:r>
        <w:rPr>
          <w:rFonts w:ascii="Times New Roman" w:hAnsi="Times New Roman" w:cs="Times New Roman"/>
        </w:rPr>
        <w:t xml:space="preserve"> change in hedging</w:t>
      </w:r>
      <w:r w:rsidR="00A865C6" w:rsidRPr="00A865C6">
        <w:rPr>
          <w:rFonts w:ascii="Times New Roman" w:hAnsi="Times New Roman" w:cs="Times New Roman"/>
        </w:rPr>
        <w:t xml:space="preserve"> during the event window. However, o</w:t>
      </w:r>
      <w:r>
        <w:rPr>
          <w:rFonts w:ascii="Times New Roman" w:hAnsi="Times New Roman" w:cs="Times New Roman"/>
        </w:rPr>
        <w:t>ther variables that hedge ratios</w:t>
      </w:r>
      <w:r w:rsidR="00A865C6" w:rsidRPr="00A865C6">
        <w:rPr>
          <w:rFonts w:ascii="Times New Roman" w:hAnsi="Times New Roman" w:cs="Times New Roman"/>
        </w:rPr>
        <w:t xml:space="preserve"> may also have changed during the event window. Therefore, we need a control group</w:t>
      </w:r>
      <w:r>
        <w:rPr>
          <w:rFonts w:ascii="Times New Roman" w:hAnsi="Times New Roman" w:cs="Times New Roman"/>
        </w:rPr>
        <w:t xml:space="preserve"> </w:t>
      </w:r>
      <w:r w:rsidR="00A865C6" w:rsidRPr="00A865C6">
        <w:rPr>
          <w:rFonts w:ascii="Times New Roman" w:hAnsi="Times New Roman" w:cs="Times New Roman"/>
        </w:rPr>
        <w:t>to contr</w:t>
      </w:r>
      <w:r>
        <w:rPr>
          <w:rFonts w:ascii="Times New Roman" w:hAnsi="Times New Roman" w:cs="Times New Roman"/>
        </w:rPr>
        <w:t>ol for common shocks that can affect hedging. To achieve this subtract hedge ratios</w:t>
      </w:r>
      <w:r w:rsidR="00A865C6" w:rsidRPr="00A865C6">
        <w:rPr>
          <w:rFonts w:ascii="Times New Roman" w:hAnsi="Times New Roman" w:cs="Times New Roman"/>
        </w:rPr>
        <w:t xml:space="preserve"> before </w:t>
      </w:r>
      <w:r>
        <w:rPr>
          <w:rFonts w:ascii="Times New Roman" w:hAnsi="Times New Roman" w:cs="Times New Roman"/>
        </w:rPr>
        <w:t>the event from hedge ratios</w:t>
      </w:r>
      <w:r w:rsidR="00A865C6" w:rsidRPr="00A865C6">
        <w:rPr>
          <w:rFonts w:ascii="Times New Roman" w:hAnsi="Times New Roman" w:cs="Times New Roman"/>
        </w:rPr>
        <w:t xml:space="preserve"> after the event for both treated and control</w:t>
      </w:r>
      <w:r>
        <w:rPr>
          <w:rFonts w:ascii="Times New Roman" w:hAnsi="Times New Roman" w:cs="Times New Roman"/>
        </w:rPr>
        <w:t xml:space="preserve"> groups. This difference tells us how the event aff</w:t>
      </w:r>
      <w:r w:rsidR="00A865C6" w:rsidRPr="00A865C6">
        <w:rPr>
          <w:rFonts w:ascii="Times New Roman" w:hAnsi="Times New Roman" w:cs="Times New Roman"/>
        </w:rPr>
        <w:t>ects</w:t>
      </w:r>
      <w:r>
        <w:rPr>
          <w:rFonts w:ascii="Times New Roman" w:hAnsi="Times New Roman" w:cs="Times New Roman"/>
        </w:rPr>
        <w:t xml:space="preserve"> each group individually. The eff</w:t>
      </w:r>
      <w:r w:rsidR="00A865C6" w:rsidRPr="00A865C6">
        <w:rPr>
          <w:rFonts w:ascii="Times New Roman" w:hAnsi="Times New Roman" w:cs="Times New Roman"/>
        </w:rPr>
        <w:t>ect of the</w:t>
      </w:r>
      <w:r>
        <w:rPr>
          <w:rFonts w:ascii="Times New Roman" w:hAnsi="Times New Roman" w:cs="Times New Roman"/>
        </w:rPr>
        <w:t xml:space="preserve"> </w:t>
      </w:r>
      <w:r w:rsidR="00A865C6" w:rsidRPr="00A865C6">
        <w:rPr>
          <w:rFonts w:ascii="Times New Roman" w:hAnsi="Times New Roman" w:cs="Times New Roman"/>
        </w:rPr>
        <w:t>event on the control group gives us the counterfactual: if it were</w:t>
      </w:r>
      <w:r>
        <w:rPr>
          <w:rFonts w:ascii="Times New Roman" w:hAnsi="Times New Roman" w:cs="Times New Roman"/>
        </w:rPr>
        <w:t xml:space="preserve"> not for the treatment (regulation FAS 123R</w:t>
      </w:r>
      <w:r w:rsidR="00A865C6" w:rsidRPr="00A865C6">
        <w:rPr>
          <w:rFonts w:ascii="Times New Roman" w:hAnsi="Times New Roman" w:cs="Times New Roman"/>
        </w:rPr>
        <w:t>) how would treated plants have performed during the event window. To get the second</w:t>
      </w:r>
      <w:r>
        <w:rPr>
          <w:rFonts w:ascii="Times New Roman" w:hAnsi="Times New Roman" w:cs="Times New Roman"/>
        </w:rPr>
        <w:t xml:space="preserve"> diff</w:t>
      </w:r>
      <w:r w:rsidR="00A865C6" w:rsidRPr="00A865C6">
        <w:rPr>
          <w:rFonts w:ascii="Times New Roman" w:hAnsi="Times New Roman" w:cs="Times New Roman"/>
        </w:rPr>
        <w:t>erence we compare the di</w:t>
      </w:r>
      <w:r>
        <w:rPr>
          <w:rFonts w:ascii="Times New Roman" w:hAnsi="Times New Roman" w:cs="Times New Roman"/>
        </w:rPr>
        <w:t>ff</w:t>
      </w:r>
      <w:r w:rsidR="00A865C6" w:rsidRPr="00A865C6">
        <w:rPr>
          <w:rFonts w:ascii="Times New Roman" w:hAnsi="Times New Roman" w:cs="Times New Roman"/>
        </w:rPr>
        <w:t>erences in the treated group to the di</w:t>
      </w:r>
      <w:r>
        <w:rPr>
          <w:rFonts w:ascii="Times New Roman" w:hAnsi="Times New Roman" w:cs="Times New Roman"/>
        </w:rPr>
        <w:t>ff</w:t>
      </w:r>
      <w:r w:rsidR="00A865C6" w:rsidRPr="00A865C6">
        <w:rPr>
          <w:rFonts w:ascii="Times New Roman" w:hAnsi="Times New Roman" w:cs="Times New Roman"/>
        </w:rPr>
        <w:t>erences in the control group.</w:t>
      </w:r>
      <w:r>
        <w:rPr>
          <w:rFonts w:ascii="Times New Roman" w:hAnsi="Times New Roman" w:cs="Times New Roman"/>
        </w:rPr>
        <w:t xml:space="preserve"> It is this</w:t>
      </w:r>
      <w:r w:rsidR="00A865C6" w:rsidRPr="00A865C6">
        <w:rPr>
          <w:rFonts w:ascii="Times New Roman" w:hAnsi="Times New Roman" w:cs="Times New Roman"/>
        </w:rPr>
        <w:t xml:space="preserve"> second di</w:t>
      </w:r>
      <w:r>
        <w:rPr>
          <w:rFonts w:ascii="Times New Roman" w:hAnsi="Times New Roman" w:cs="Times New Roman"/>
        </w:rPr>
        <w:t>fference that</w:t>
      </w:r>
      <w:r w:rsidR="00A865C6" w:rsidRPr="00A865C6">
        <w:rPr>
          <w:rFonts w:ascii="Times New Roman" w:hAnsi="Times New Roman" w:cs="Times New Roman"/>
        </w:rPr>
        <w:t xml:space="preserve"> allows us to control for common shocks that can a</w:t>
      </w:r>
      <w:r>
        <w:rPr>
          <w:rFonts w:ascii="Times New Roman" w:hAnsi="Times New Roman" w:cs="Times New Roman"/>
        </w:rPr>
        <w:t>ff</w:t>
      </w:r>
      <w:r w:rsidR="00A865C6" w:rsidRPr="00A865C6">
        <w:rPr>
          <w:rFonts w:ascii="Times New Roman" w:hAnsi="Times New Roman" w:cs="Times New Roman"/>
        </w:rPr>
        <w:t xml:space="preserve">ect both groups (i.e. </w:t>
      </w:r>
      <w:r w:rsidR="00D72E54">
        <w:rPr>
          <w:rFonts w:ascii="Times New Roman" w:hAnsi="Times New Roman" w:cs="Times New Roman"/>
        </w:rPr>
        <w:t xml:space="preserve">the implementation of FAS 123R </w:t>
      </w:r>
      <w:r>
        <w:rPr>
          <w:rFonts w:ascii="Times New Roman" w:hAnsi="Times New Roman" w:cs="Times New Roman"/>
        </w:rPr>
        <w:t>in this study). In sum</w:t>
      </w:r>
      <w:r w:rsidR="00A865C6" w:rsidRPr="00A865C6">
        <w:rPr>
          <w:rFonts w:ascii="Times New Roman" w:hAnsi="Times New Roman" w:cs="Times New Roman"/>
        </w:rPr>
        <w:t>, di</w:t>
      </w:r>
      <w:r>
        <w:rPr>
          <w:rFonts w:ascii="Times New Roman" w:hAnsi="Times New Roman" w:cs="Times New Roman"/>
        </w:rPr>
        <w:t>ff</w:t>
      </w:r>
      <w:r w:rsidR="00A865C6" w:rsidRPr="00A865C6">
        <w:rPr>
          <w:rFonts w:ascii="Times New Roman" w:hAnsi="Times New Roman" w:cs="Times New Roman"/>
        </w:rPr>
        <w:t>erencing in this manner eliminates any biases on the treatment</w:t>
      </w:r>
      <w:r>
        <w:rPr>
          <w:rFonts w:ascii="Times New Roman" w:hAnsi="Times New Roman" w:cs="Times New Roman"/>
        </w:rPr>
        <w:t xml:space="preserve"> </w:t>
      </w:r>
      <w:r w:rsidR="00A865C6" w:rsidRPr="00A865C6">
        <w:rPr>
          <w:rFonts w:ascii="Times New Roman" w:hAnsi="Times New Roman" w:cs="Times New Roman"/>
        </w:rPr>
        <w:t>group that may arise from any other common changes that could a</w:t>
      </w:r>
      <w:r>
        <w:rPr>
          <w:rFonts w:ascii="Times New Roman" w:hAnsi="Times New Roman" w:cs="Times New Roman"/>
        </w:rPr>
        <w:t>ff</w:t>
      </w:r>
      <w:r w:rsidR="00A865C6" w:rsidRPr="00A865C6">
        <w:rPr>
          <w:rFonts w:ascii="Times New Roman" w:hAnsi="Times New Roman" w:cs="Times New Roman"/>
        </w:rPr>
        <w:t>ect the treatment group during</w:t>
      </w:r>
      <w:r>
        <w:rPr>
          <w:rFonts w:ascii="Times New Roman" w:hAnsi="Times New Roman" w:cs="Times New Roman"/>
        </w:rPr>
        <w:t xml:space="preserve"> </w:t>
      </w:r>
      <w:r w:rsidR="00A865C6" w:rsidRPr="00A865C6">
        <w:rPr>
          <w:rFonts w:ascii="Times New Roman" w:hAnsi="Times New Roman" w:cs="Times New Roman"/>
        </w:rPr>
        <w:t>the ev</w:t>
      </w:r>
      <w:r>
        <w:rPr>
          <w:rFonts w:ascii="Times New Roman" w:hAnsi="Times New Roman" w:cs="Times New Roman"/>
        </w:rPr>
        <w:t>ent window other than the reform to the regulation governing option expensing (FAS 123R)</w:t>
      </w:r>
      <w:r w:rsidR="00A865C6" w:rsidRPr="00A865C6">
        <w:rPr>
          <w:rFonts w:ascii="Times New Roman" w:hAnsi="Times New Roman" w:cs="Times New Roman"/>
        </w:rPr>
        <w:t>.</w:t>
      </w:r>
    </w:p>
    <w:p w:rsidR="00110FED" w:rsidRDefault="00110FED" w:rsidP="007C4E77">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r>
      <w:r w:rsidRPr="00110FED">
        <w:rPr>
          <w:rFonts w:ascii="Times New Roman" w:hAnsi="Times New Roman" w:cs="Times New Roman"/>
        </w:rPr>
        <w:t xml:space="preserve">More formally, let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it</m:t>
            </m:r>
          </m:sub>
        </m:sSub>
      </m:oMath>
      <w:r w:rsidRPr="00110FED">
        <w:rPr>
          <w:rFonts w:ascii="Times New Roman" w:hAnsi="Times New Roman" w:cs="Times New Roman"/>
        </w:rPr>
        <w:t xml:space="preserve"> </w:t>
      </w:r>
      <w:r>
        <w:rPr>
          <w:rFonts w:ascii="Times New Roman" w:hAnsi="Times New Roman" w:cs="Times New Roman"/>
        </w:rPr>
        <w:t xml:space="preserve">be the hedge ratio of firm </w:t>
      </w:r>
      <w:proofErr w:type="spellStart"/>
      <w:r w:rsidRPr="00110FED">
        <w:rPr>
          <w:rFonts w:ascii="Times New Roman" w:hAnsi="Times New Roman" w:cs="Times New Roman"/>
          <w:i/>
        </w:rPr>
        <w:t>i</w:t>
      </w:r>
      <w:proofErr w:type="spellEnd"/>
      <w:r w:rsidRPr="00110FED">
        <w:rPr>
          <w:rFonts w:ascii="Times New Roman" w:hAnsi="Times New Roman" w:cs="Times New Roman"/>
          <w:i/>
        </w:rPr>
        <w:t xml:space="preserve"> </w:t>
      </w:r>
      <w:r>
        <w:rPr>
          <w:rFonts w:ascii="Times New Roman" w:hAnsi="Times New Roman" w:cs="Times New Roman"/>
        </w:rPr>
        <w:t xml:space="preserve">at time </w:t>
      </w:r>
      <w:r w:rsidRPr="00110FED">
        <w:rPr>
          <w:rFonts w:ascii="Times New Roman" w:hAnsi="Times New Roman" w:cs="Times New Roman"/>
          <w:i/>
        </w:rPr>
        <w:t>t</w:t>
      </w:r>
      <w:r>
        <w:rPr>
          <w:rFonts w:ascii="Times New Roman" w:hAnsi="Times New Roman" w:cs="Times New Roman"/>
        </w:rPr>
        <w:t xml:space="preserve"> and let</w:t>
      </w:r>
      <w:r w:rsidRPr="00110FED">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t</m:t>
            </m:r>
          </m:sub>
        </m:sSub>
      </m:oMath>
      <w:r w:rsidRPr="00110FED">
        <w:rPr>
          <w:rFonts w:ascii="Times New Roman" w:hAnsi="Times New Roman" w:cs="Times New Roman"/>
        </w:rPr>
        <w:t xml:space="preserve"> be event dummy that is one</w:t>
      </w:r>
      <w:r>
        <w:rPr>
          <w:rFonts w:ascii="Times New Roman" w:hAnsi="Times New Roman" w:cs="Times New Roman"/>
        </w:rPr>
        <w:t xml:space="preserve"> </w:t>
      </w:r>
      <w:r w:rsidRPr="00110FED">
        <w:rPr>
          <w:rFonts w:ascii="Times New Roman" w:hAnsi="Times New Roman" w:cs="Times New Roman"/>
        </w:rPr>
        <w:t xml:space="preserve">after the event occurs and zero before. Let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it</m:t>
            </m:r>
          </m:sub>
        </m:sSub>
      </m:oMath>
      <w:r w:rsidRPr="00110FED">
        <w:rPr>
          <w:rFonts w:ascii="Times New Roman" w:hAnsi="Times New Roman" w:cs="Times New Roman"/>
        </w:rPr>
        <w:t xml:space="preserve"> be a vector of controls that contains factors that</w:t>
      </w:r>
      <w:r>
        <w:rPr>
          <w:rFonts w:ascii="Times New Roman" w:hAnsi="Times New Roman" w:cs="Times New Roman"/>
        </w:rPr>
        <w:t xml:space="preserve"> aff</w:t>
      </w:r>
      <w:r w:rsidRPr="00110FED">
        <w:rPr>
          <w:rFonts w:ascii="Times New Roman" w:hAnsi="Times New Roman" w:cs="Times New Roman"/>
        </w:rPr>
        <w:t xml:space="preserve">ect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it</m:t>
            </m:r>
          </m:sub>
        </m:sSub>
      </m:oMath>
      <w:r w:rsidRPr="00110FED">
        <w:rPr>
          <w:rFonts w:ascii="Times New Roman" w:hAnsi="Times New Roman" w:cs="Times New Roman"/>
        </w:rPr>
        <w:t xml:space="preserve"> that </w:t>
      </w:r>
      <w:r>
        <w:rPr>
          <w:rFonts w:ascii="Times New Roman" w:hAnsi="Times New Roman" w:cs="Times New Roman"/>
        </w:rPr>
        <w:t xml:space="preserve">may have </w:t>
      </w:r>
      <w:r w:rsidRPr="00110FED">
        <w:rPr>
          <w:rFonts w:ascii="Times New Roman" w:hAnsi="Times New Roman" w:cs="Times New Roman"/>
        </w:rPr>
        <w:t xml:space="preserve">changed around the event. </w:t>
      </w:r>
      <w:r>
        <w:rPr>
          <w:rFonts w:ascii="Times New Roman" w:hAnsi="Times New Roman" w:cs="Times New Roman"/>
        </w:rPr>
        <w:t>We</w:t>
      </w:r>
      <w:r w:rsidRPr="00110FED">
        <w:rPr>
          <w:rFonts w:ascii="Times New Roman" w:hAnsi="Times New Roman" w:cs="Times New Roman"/>
        </w:rPr>
        <w:t xml:space="preserve"> estimate:</w:t>
      </w:r>
    </w:p>
    <w:p w:rsidR="00110FED" w:rsidRPr="00110FED" w:rsidRDefault="005D5B8E" w:rsidP="007C4E77">
      <w:pPr>
        <w:autoSpaceDE w:val="0"/>
        <w:autoSpaceDN w:val="0"/>
        <w:adjustRightInd w:val="0"/>
        <w:spacing w:after="120" w:line="48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it</m:t>
              </m:r>
            </m:sub>
          </m:sSub>
          <m:r>
            <m:rPr>
              <m:sty m:val="p"/>
            </m:rPr>
            <w:rPr>
              <w:rFonts w:ascii="Cambria Math" w:hAnsi="Times New Roman" w:cs="Times New Roman"/>
            </w:rPr>
            <m:t>=</m:t>
          </m:r>
          <m:r>
            <m:rPr>
              <m:sty m:val="p"/>
            </m:rPr>
            <w:rPr>
              <w:rFonts w:ascii="Cambria Math" w:hAnsi="Cambria Math" w:cs="Times New Roman"/>
            </w:rPr>
            <m:t>α</m:t>
          </m:r>
          <m:r>
            <m:rPr>
              <m:sty m:val="p"/>
            </m:rPr>
            <w:rPr>
              <w:rFonts w:ascii="Cambria Math" w:hAnsi="Times New Roman" w:cs="Times New Roman"/>
            </w:rPr>
            <m:t>+</m:t>
          </m:r>
          <m:r>
            <m:rPr>
              <m:sty m:val="p"/>
            </m:rPr>
            <w:rPr>
              <w:rFonts w:ascii="Cambria Math" w:hAnsi="Cambria Math" w:cs="Times New Roman"/>
            </w:rPr>
            <m:t>β</m:t>
          </m:r>
          <m:sSub>
            <m:sSubPr>
              <m:ctrlPr>
                <w:rPr>
                  <w:rFonts w:ascii="Cambria Math" w:hAnsi="Times New Roman" w:cs="Times New Roman"/>
                </w:rPr>
              </m:ctrlPr>
            </m:sSubPr>
            <m:e>
              <m:r>
                <m:rPr>
                  <m:sty m:val="p"/>
                </m:rPr>
                <w:rPr>
                  <w:rFonts w:ascii="Cambria Math" w:hAnsi="Times New Roman" w:cs="Times New Roman"/>
                </w:rPr>
                <m:t>d</m:t>
              </m:r>
            </m:e>
            <m:sub>
              <m:r>
                <m:rPr>
                  <m:sty m:val="p"/>
                </m:rPr>
                <w:rPr>
                  <w:rFonts w:ascii="Cambria Math" w:hAnsi="Times New Roman" w:cs="Times New Roman"/>
                </w:rPr>
                <m:t>t</m:t>
              </m:r>
            </m:sub>
          </m:sSub>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z</m:t>
              </m:r>
            </m:e>
            <m:sub>
              <m:r>
                <m:rPr>
                  <m:sty m:val="p"/>
                </m:rPr>
                <w:rPr>
                  <w:rFonts w:ascii="Cambria Math" w:hAnsi="Times New Roman" w:cs="Times New Roman"/>
                </w:rPr>
                <m:t>it</m:t>
              </m:r>
            </m:sub>
          </m:sSub>
          <m:r>
            <m:rPr>
              <m:sty m:val="p"/>
            </m:rPr>
            <w:rPr>
              <w:rFonts w:ascii="Cambria Math" w:hAnsi="Cambria Math" w:cs="Times New Roman"/>
            </w:rPr>
            <m:t>δ</m:t>
          </m:r>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Cambria Math" w:cs="Times New Roman"/>
                </w:rPr>
                <m:t>ε</m:t>
              </m:r>
            </m:e>
            <m:sub>
              <m:r>
                <m:rPr>
                  <m:sty m:val="p"/>
                </m:rPr>
                <w:rPr>
                  <w:rFonts w:ascii="Cambria Math" w:hAnsi="Times New Roman" w:cs="Times New Roman"/>
                </w:rPr>
                <m:t>it</m:t>
              </m:r>
            </m:sub>
          </m:sSub>
        </m:oMath>
      </m:oMathPara>
    </w:p>
    <w:p w:rsidR="00B0608C" w:rsidRDefault="00110FED" w:rsidP="007C4E77">
      <w:pPr>
        <w:autoSpaceDE w:val="0"/>
        <w:autoSpaceDN w:val="0"/>
        <w:adjustRightInd w:val="0"/>
        <w:spacing w:after="0" w:line="480" w:lineRule="auto"/>
        <w:jc w:val="both"/>
        <w:rPr>
          <w:rFonts w:ascii="Times New Roman" w:hAnsi="Times New Roman" w:cs="Times New Roman"/>
        </w:rPr>
      </w:pPr>
      <w:r w:rsidRPr="00110FED">
        <w:rPr>
          <w:rFonts w:ascii="Times New Roman" w:hAnsi="Times New Roman" w:cs="Times New Roman"/>
        </w:rPr>
        <w:t xml:space="preserve">The identifying assumption is that  </w:t>
      </w:r>
      <m:oMath>
        <m:r>
          <w:rPr>
            <w:rFonts w:ascii="Cambria Math" w:hAnsi="Cambria Math" w:cs="Times New Roman"/>
          </w:rPr>
          <m:t>β=0</m:t>
        </m:r>
      </m:oMath>
      <w:r w:rsidRPr="00110FED">
        <w:rPr>
          <w:rFonts w:ascii="Times New Roman" w:hAnsi="Times New Roman" w:cs="Times New Roman"/>
        </w:rPr>
        <w:t xml:space="preserve"> </w:t>
      </w:r>
      <w:r>
        <w:rPr>
          <w:rFonts w:ascii="Times New Roman" w:hAnsi="Times New Roman" w:cs="Times New Roman"/>
        </w:rPr>
        <w:t xml:space="preserve"> </w:t>
      </w:r>
      <w:r w:rsidRPr="00110FED">
        <w:rPr>
          <w:rFonts w:ascii="Times New Roman" w:hAnsi="Times New Roman" w:cs="Times New Roman"/>
        </w:rPr>
        <w:t>in the absence of treatment, or equivalently assuming</w:t>
      </w:r>
      <w:r>
        <w:rPr>
          <w:rFonts w:ascii="Times New Roman" w:hAnsi="Times New Roman" w:cs="Times New Roman"/>
        </w:rPr>
        <w:t xml:space="preserve"> </w:t>
      </w:r>
      <w:proofErr w:type="gramStart"/>
      <w:r w:rsidRPr="00110FED">
        <w:rPr>
          <w:rFonts w:ascii="Times New Roman" w:hAnsi="Times New Roman" w:cs="Times New Roman"/>
        </w:rPr>
        <w:t>that</w:t>
      </w:r>
      <w:r>
        <w:rPr>
          <w:rFonts w:ascii="Times New Roman" w:hAnsi="Times New Roman" w:cs="Times New Roman"/>
        </w:rPr>
        <w:t xml:space="preserve"> </w:t>
      </w:r>
      <m:oMath>
        <w:proofErr w:type="gramEnd"/>
        <m:r>
          <w:rPr>
            <w:rFonts w:ascii="Cambria Math" w:hAnsi="Cambria Math" w:cs="Times New Roman"/>
          </w:rPr>
          <m:t>E</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t</m:t>
                </m:r>
              </m:sub>
            </m:sSub>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e>
            </m:d>
          </m:e>
        </m:d>
        <m:r>
          <w:rPr>
            <w:rFonts w:ascii="Cambria Math" w:hAnsi="Cambria Math" w:cs="Times New Roman"/>
          </w:rPr>
          <m:t>=0</m:t>
        </m:r>
      </m:oMath>
      <w:r w:rsidRPr="00110FED">
        <w:rPr>
          <w:rFonts w:ascii="Times New Roman" w:hAnsi="Times New Roman" w:cs="Times New Roman"/>
        </w:rPr>
        <w:t xml:space="preserve">. If there are important unobservable variables missing from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it</m:t>
            </m:r>
          </m:sub>
        </m:sSub>
        <m:r>
          <w:rPr>
            <w:rFonts w:ascii="Cambria Math" w:hAnsi="Cambria Math" w:cs="Times New Roman"/>
          </w:rPr>
          <m:t xml:space="preserve"> </m:t>
        </m:r>
      </m:oMath>
      <w:r w:rsidRPr="00110FED">
        <w:rPr>
          <w:rFonts w:ascii="Times New Roman" w:hAnsi="Times New Roman" w:cs="Times New Roman"/>
        </w:rPr>
        <w:t>then this</w:t>
      </w:r>
      <w:r>
        <w:rPr>
          <w:rFonts w:ascii="Times New Roman" w:hAnsi="Times New Roman" w:cs="Times New Roman"/>
        </w:rPr>
        <w:t xml:space="preserve"> </w:t>
      </w:r>
      <w:r w:rsidRPr="00110FED">
        <w:rPr>
          <w:rFonts w:ascii="Times New Roman" w:hAnsi="Times New Roman" w:cs="Times New Roman"/>
        </w:rPr>
        <w:t xml:space="preserve">assumption </w:t>
      </w:r>
      <w:r>
        <w:rPr>
          <w:rFonts w:ascii="Times New Roman" w:hAnsi="Times New Roman" w:cs="Times New Roman"/>
        </w:rPr>
        <w:t xml:space="preserve">does not hold and the simple differences estimator </w:t>
      </w:r>
      <m:oMath>
        <m:r>
          <w:rPr>
            <w:rFonts w:ascii="Cambria Math" w:hAnsi="Cambria Math" w:cs="Times New Roman"/>
          </w:rPr>
          <m:t>β</m:t>
        </m:r>
      </m:oMath>
      <w:r w:rsidRPr="00110FED">
        <w:rPr>
          <w:rFonts w:ascii="Times New Roman" w:hAnsi="Times New Roman" w:cs="Times New Roman"/>
        </w:rPr>
        <w:t xml:space="preserve"> </w:t>
      </w:r>
      <w:r>
        <w:rPr>
          <w:rFonts w:ascii="Times New Roman" w:hAnsi="Times New Roman" w:cs="Times New Roman"/>
        </w:rPr>
        <w:t>is a biased estimate of the eff</w:t>
      </w:r>
      <w:r w:rsidRPr="00110FED">
        <w:rPr>
          <w:rFonts w:ascii="Times New Roman" w:hAnsi="Times New Roman" w:cs="Times New Roman"/>
        </w:rPr>
        <w:t>ect of</w:t>
      </w:r>
      <w:r>
        <w:rPr>
          <w:rFonts w:ascii="Times New Roman" w:hAnsi="Times New Roman" w:cs="Times New Roman"/>
        </w:rPr>
        <w:t xml:space="preserve"> </w:t>
      </w:r>
      <w:r w:rsidRPr="00110FED">
        <w:rPr>
          <w:rFonts w:ascii="Times New Roman" w:hAnsi="Times New Roman" w:cs="Times New Roman"/>
        </w:rPr>
        <w:t xml:space="preserve">the event </w:t>
      </w:r>
      <w:proofErr w:type="gramStart"/>
      <w:r w:rsidRPr="00110FED">
        <w:rPr>
          <w:rFonts w:ascii="Times New Roman" w:hAnsi="Times New Roman" w:cs="Times New Roman"/>
        </w:rPr>
        <w:t xml:space="preserve">on </w:t>
      </w:r>
      <m:oMath>
        <w:proofErr w:type="gramEnd"/>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it</m:t>
            </m:r>
          </m:sub>
        </m:sSub>
      </m:oMath>
      <w:r w:rsidRPr="00110FED">
        <w:rPr>
          <w:rFonts w:ascii="Times New Roman" w:hAnsi="Times New Roman" w:cs="Times New Roman"/>
        </w:rPr>
        <w:t>. As discussed above this is unlikely to hold in this study. To avoid this confounding</w:t>
      </w:r>
      <w:r>
        <w:rPr>
          <w:rFonts w:ascii="Times New Roman" w:hAnsi="Times New Roman" w:cs="Times New Roman"/>
        </w:rPr>
        <w:t xml:space="preserve"> aff</w:t>
      </w:r>
      <w:r w:rsidRPr="00110FED">
        <w:rPr>
          <w:rFonts w:ascii="Times New Roman" w:hAnsi="Times New Roman" w:cs="Times New Roman"/>
        </w:rPr>
        <w:t xml:space="preserve">ect on </w:t>
      </w:r>
      <m:oMath>
        <m:r>
          <w:rPr>
            <w:rFonts w:ascii="Cambria Math" w:hAnsi="Cambria Math" w:cs="Times New Roman"/>
          </w:rPr>
          <m:t>β</m:t>
        </m:r>
      </m:oMath>
      <w:r w:rsidRPr="00110FED">
        <w:rPr>
          <w:rFonts w:ascii="Times New Roman" w:hAnsi="Times New Roman" w:cs="Times New Roman"/>
        </w:rPr>
        <w:t xml:space="preserve"> we split the sample</w:t>
      </w:r>
      <w:r>
        <w:rPr>
          <w:rFonts w:ascii="Times New Roman" w:hAnsi="Times New Roman" w:cs="Times New Roman"/>
        </w:rPr>
        <w:t xml:space="preserve"> into a treated group that is aff</w:t>
      </w:r>
      <w:r w:rsidRPr="00110FED">
        <w:rPr>
          <w:rFonts w:ascii="Times New Roman" w:hAnsi="Times New Roman" w:cs="Times New Roman"/>
        </w:rPr>
        <w:t xml:space="preserve">ected by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t</m:t>
            </m:r>
          </m:sub>
        </m:sSub>
      </m:oMath>
      <w:r w:rsidRPr="00110FED">
        <w:rPr>
          <w:rFonts w:ascii="Times New Roman" w:hAnsi="Times New Roman" w:cs="Times New Roman"/>
        </w:rPr>
        <w:t xml:space="preserve"> </w:t>
      </w:r>
      <w:r>
        <w:rPr>
          <w:rFonts w:ascii="Times New Roman" w:hAnsi="Times New Roman" w:cs="Times New Roman"/>
        </w:rPr>
        <w:t>and a</w:t>
      </w:r>
      <w:r w:rsidRPr="00110FED">
        <w:rPr>
          <w:rFonts w:ascii="Times New Roman" w:hAnsi="Times New Roman" w:cs="Times New Roman"/>
        </w:rPr>
        <w:t xml:space="preserve"> control group</w:t>
      </w:r>
      <w:r>
        <w:rPr>
          <w:rFonts w:ascii="Times New Roman" w:hAnsi="Times New Roman" w:cs="Times New Roman"/>
        </w:rPr>
        <w:t xml:space="preserve"> </w:t>
      </w:r>
      <w:r w:rsidR="00B0608C">
        <w:rPr>
          <w:rFonts w:ascii="Times New Roman" w:hAnsi="Times New Roman" w:cs="Times New Roman"/>
        </w:rPr>
        <w:t xml:space="preserve">that is not. </w:t>
      </w:r>
    </w:p>
    <w:p w:rsidR="00110FED" w:rsidRDefault="00B0608C" w:rsidP="007C4E77">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lastRenderedPageBreak/>
        <w:tab/>
        <w:t xml:space="preserve">We identify two different control groups. The first group contains firms that did not pay any options to their executives in the pre-treatment period. This group is not affected by the regulation change as the executives of these firms are not impacted by the large changes in </w:t>
      </w:r>
      <w:proofErr w:type="spellStart"/>
      <w:proofErr w:type="gramStart"/>
      <w:r>
        <w:rPr>
          <w:rFonts w:ascii="Times New Roman" w:hAnsi="Times New Roman" w:cs="Times New Roman"/>
        </w:rPr>
        <w:t>vegas</w:t>
      </w:r>
      <w:proofErr w:type="spellEnd"/>
      <w:proofErr w:type="gramEnd"/>
      <w:r>
        <w:rPr>
          <w:rFonts w:ascii="Times New Roman" w:hAnsi="Times New Roman" w:cs="Times New Roman"/>
        </w:rPr>
        <w:t xml:space="preserve"> induced by FAS 123R. </w:t>
      </w:r>
      <w:r>
        <w:rPr>
          <w:rStyle w:val="FootnoteReference"/>
          <w:rFonts w:ascii="Times New Roman" w:hAnsi="Times New Roman" w:cs="Times New Roman"/>
        </w:rPr>
        <w:footnoteReference w:id="12"/>
      </w:r>
      <w:r>
        <w:rPr>
          <w:rFonts w:ascii="Times New Roman" w:hAnsi="Times New Roman" w:cs="Times New Roman"/>
        </w:rPr>
        <w:t xml:space="preserve"> The second control group are firms that had preemptively adopted FAS 123R prior to 2005 i.e. used fair-value method for expensing their executive stocks options in the pre-treatment period.</w:t>
      </w:r>
      <w:r w:rsidRPr="009832AF">
        <w:rPr>
          <w:rStyle w:val="FootnoteReference"/>
          <w:rFonts w:ascii="Times New Roman" w:hAnsi="Times New Roman" w:cs="Times New Roman"/>
          <w:color w:val="000000" w:themeColor="text1"/>
        </w:rPr>
        <w:footnoteReference w:id="13"/>
      </w:r>
      <w:r>
        <w:rPr>
          <w:rFonts w:ascii="Times New Roman" w:hAnsi="Times New Roman" w:cs="Times New Roman"/>
        </w:rPr>
        <w:t xml:space="preserve">  Again this group is not impacted by the regulation change as they have already implemented the main provisions in the regulation change.  With these two control groups in hand</w:t>
      </w:r>
      <w:r w:rsidR="00110FED">
        <w:rPr>
          <w:rFonts w:ascii="Times New Roman" w:hAnsi="Times New Roman" w:cs="Times New Roman"/>
        </w:rPr>
        <w:t xml:space="preserve"> we estimate the full </w:t>
      </w:r>
      <w:r w:rsidR="00A41F5E">
        <w:rPr>
          <w:rFonts w:ascii="Times New Roman" w:eastAsia="Times New Roman" w:hAnsi="Times New Roman" w:cs="Times New Roman"/>
          <w:sz w:val="20"/>
          <w:szCs w:val="20"/>
        </w:rPr>
        <w:t>DID</w:t>
      </w:r>
      <w:r w:rsidR="00110FED">
        <w:rPr>
          <w:rFonts w:ascii="Times New Roman" w:hAnsi="Times New Roman" w:cs="Times New Roman"/>
        </w:rPr>
        <w:t xml:space="preserve"> specifi</w:t>
      </w:r>
      <w:r w:rsidR="00110FED" w:rsidRPr="00110FED">
        <w:rPr>
          <w:rFonts w:ascii="Times New Roman" w:hAnsi="Times New Roman" w:cs="Times New Roman"/>
        </w:rPr>
        <w:t>cation:</w:t>
      </w:r>
    </w:p>
    <w:p w:rsidR="00110FED" w:rsidRDefault="005D5B8E" w:rsidP="00110FED">
      <w:pPr>
        <w:autoSpaceDE w:val="0"/>
        <w:autoSpaceDN w:val="0"/>
        <w:adjustRightInd w:val="0"/>
        <w:spacing w:after="0" w:line="480" w:lineRule="auto"/>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it</m:t>
              </m:r>
            </m:sub>
          </m:sSub>
          <m:r>
            <m:rPr>
              <m:sty m:val="p"/>
            </m:rPr>
            <w:rPr>
              <w:rFonts w:ascii="Cambria Math" w:hAnsi="Times New Roman" w:cs="Times New Roman"/>
            </w:rPr>
            <m:t>=</m:t>
          </m:r>
          <m:r>
            <m:rPr>
              <m:sty m:val="p"/>
            </m:rPr>
            <w:rPr>
              <w:rFonts w:ascii="Cambria Math" w:hAnsi="Cambria Math" w:cs="Times New Roman"/>
            </w:rPr>
            <m:t>α</m:t>
          </m:r>
          <m:r>
            <m:rPr>
              <m:sty m:val="p"/>
            </m:rPr>
            <w:rPr>
              <w:rFonts w:ascii="Cambria Math" w:hAnsi="Times New Roman" w:cs="Times New Roman"/>
            </w:rPr>
            <m:t>+</m:t>
          </m:r>
          <m:r>
            <m:rPr>
              <m:sty m:val="p"/>
            </m:rPr>
            <w:rPr>
              <w:rFonts w:ascii="Cambria Math" w:hAnsi="Cambria Math" w:cs="Times New Roman"/>
            </w:rPr>
            <m:t>β</m:t>
          </m:r>
          <m:sSub>
            <m:sSubPr>
              <m:ctrlPr>
                <w:rPr>
                  <w:rFonts w:ascii="Cambria Math" w:hAnsi="Times New Roman" w:cs="Times New Roman"/>
                </w:rPr>
              </m:ctrlPr>
            </m:sSubPr>
            <m:e>
              <m:r>
                <m:rPr>
                  <m:sty m:val="p"/>
                </m:rPr>
                <w:rPr>
                  <w:rFonts w:ascii="Cambria Math" w:hAnsi="Times New Roman" w:cs="Times New Roman"/>
                </w:rPr>
                <m:t>d</m:t>
              </m:r>
            </m:e>
            <m:sub>
              <m:r>
                <m:rPr>
                  <m:sty m:val="p"/>
                </m:rPr>
                <w:rPr>
                  <w:rFonts w:ascii="Cambria Math" w:hAnsi="Times New Roman" w:cs="Times New Roman"/>
                </w:rPr>
                <m:t>t</m:t>
              </m:r>
            </m:sub>
          </m:sSub>
          <m:r>
            <m:rPr>
              <m:sty m:val="p"/>
            </m:rPr>
            <w:rPr>
              <w:rFonts w:ascii="Cambria Math" w:hAnsi="Times New Roman" w:cs="Times New Roman"/>
            </w:rPr>
            <m:t>+</m:t>
          </m:r>
          <m:r>
            <m:rPr>
              <m:sty m:val="p"/>
            </m:rPr>
            <w:rPr>
              <w:rFonts w:ascii="Cambria Math" w:hAnsi="Cambria Math" w:cs="Times New Roman"/>
            </w:rPr>
            <m:t>ω</m:t>
          </m:r>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i</m:t>
              </m:r>
            </m:sub>
          </m:sSub>
          <m:r>
            <m:rPr>
              <m:sty m:val="p"/>
            </m:rPr>
            <w:rPr>
              <w:rFonts w:ascii="Cambria Math" w:hAnsi="Times New Roman" w:cs="Times New Roman"/>
            </w:rPr>
            <m:t>+</m:t>
          </m:r>
          <m:r>
            <m:rPr>
              <m:sty m:val="p"/>
            </m:rPr>
            <w:rPr>
              <w:rFonts w:ascii="Cambria Math" w:hAnsi="Cambria Math" w:cs="Times New Roman"/>
            </w:rPr>
            <m:t>θ</m:t>
          </m:r>
          <m:sSub>
            <m:sSubPr>
              <m:ctrlPr>
                <w:rPr>
                  <w:rFonts w:ascii="Cambria Math" w:hAnsi="Times New Roman" w:cs="Times New Roman"/>
                </w:rPr>
              </m:ctrlPr>
            </m:sSubPr>
            <m:e>
              <m:r>
                <m:rPr>
                  <m:sty m:val="p"/>
                </m:rPr>
                <w:rPr>
                  <w:rFonts w:ascii="Cambria Math" w:hAnsi="Times New Roman" w:cs="Times New Roman"/>
                </w:rPr>
                <m:t>d</m:t>
              </m:r>
            </m:e>
            <m:sub>
              <m:r>
                <m:rPr>
                  <m:sty m:val="p"/>
                </m:rPr>
                <w:rPr>
                  <w:rFonts w:ascii="Cambria Math" w:hAnsi="Times New Roman" w:cs="Times New Roman"/>
                </w:rPr>
                <m:t>t</m:t>
              </m:r>
            </m:sub>
          </m:sSub>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i</m:t>
              </m:r>
            </m:sub>
          </m:sSub>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z</m:t>
              </m:r>
            </m:e>
            <m:sub>
              <m:r>
                <m:rPr>
                  <m:sty m:val="p"/>
                </m:rPr>
                <w:rPr>
                  <w:rFonts w:ascii="Cambria Math" w:hAnsi="Times New Roman" w:cs="Times New Roman"/>
                </w:rPr>
                <m:t>it</m:t>
              </m:r>
            </m:sub>
          </m:sSub>
          <m:r>
            <m:rPr>
              <m:sty m:val="p"/>
            </m:rPr>
            <w:rPr>
              <w:rFonts w:ascii="Cambria Math" w:hAnsi="Cambria Math" w:cs="Times New Roman"/>
            </w:rPr>
            <m:t>δ</m:t>
          </m:r>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Cambria Math" w:cs="Times New Roman"/>
                </w:rPr>
                <m:t>ε</m:t>
              </m:r>
            </m:e>
            <m:sub>
              <m:r>
                <m:rPr>
                  <m:sty m:val="p"/>
                </m:rPr>
                <w:rPr>
                  <w:rFonts w:ascii="Cambria Math" w:hAnsi="Times New Roman" w:cs="Times New Roman"/>
                </w:rPr>
                <m:t>it</m:t>
              </m:r>
            </m:sub>
          </m:sSub>
        </m:oMath>
      </m:oMathPara>
    </w:p>
    <w:p w:rsidR="00015135" w:rsidRDefault="00110FED" w:rsidP="007C4E77">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r>
      <w:r w:rsidRPr="00110FED">
        <w:rPr>
          <w:rFonts w:ascii="Times New Roman" w:hAnsi="Times New Roman" w:cs="Times New Roman"/>
        </w:rPr>
        <w:t xml:space="preserve">Here t </w:t>
      </w:r>
      <w:r>
        <w:rPr>
          <w:rFonts w:ascii="Times New Roman" w:hAnsi="Times New Roman" w:cs="Times New Roman"/>
        </w:rPr>
        <w:t>indexes time</w:t>
      </w:r>
      <w:r w:rsidRPr="00110FED">
        <w:rPr>
          <w:rFonts w:ascii="Times New Roman" w:hAnsi="Times New Roman" w:cs="Times New Roman"/>
        </w:rPr>
        <w:t xml:space="preserve">, </w:t>
      </w:r>
      <w:proofErr w:type="spellStart"/>
      <w:r w:rsidRPr="00110FED">
        <w:rPr>
          <w:rFonts w:ascii="Times New Roman" w:hAnsi="Times New Roman" w:cs="Times New Roman"/>
        </w:rPr>
        <w:t>i</w:t>
      </w:r>
      <w:proofErr w:type="spellEnd"/>
      <w:r w:rsidRPr="00110FED">
        <w:rPr>
          <w:rFonts w:ascii="Times New Roman" w:hAnsi="Times New Roman" w:cs="Times New Roman"/>
        </w:rPr>
        <w:t xml:space="preserve"> </w:t>
      </w:r>
      <w:r>
        <w:rPr>
          <w:rFonts w:ascii="Times New Roman" w:hAnsi="Times New Roman" w:cs="Times New Roman"/>
        </w:rPr>
        <w:t xml:space="preserve">indexes firms and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oMath>
      <w:r w:rsidRPr="00110FED">
        <w:rPr>
          <w:rFonts w:ascii="Times New Roman" w:hAnsi="Times New Roman" w:cs="Times New Roman"/>
        </w:rPr>
        <w:t xml:space="preserve"> </w:t>
      </w:r>
      <w:proofErr w:type="gramStart"/>
      <w:r w:rsidRPr="00110FED">
        <w:rPr>
          <w:rFonts w:ascii="Times New Roman" w:hAnsi="Times New Roman" w:cs="Times New Roman"/>
        </w:rPr>
        <w:t>is</w:t>
      </w:r>
      <w:proofErr w:type="gramEnd"/>
      <w:r w:rsidRPr="00110FED">
        <w:rPr>
          <w:rFonts w:ascii="Times New Roman" w:hAnsi="Times New Roman" w:cs="Times New Roman"/>
        </w:rPr>
        <w:t xml:space="preserve"> an indicator v</w:t>
      </w:r>
      <w:r>
        <w:rPr>
          <w:rFonts w:ascii="Times New Roman" w:hAnsi="Times New Roman" w:cs="Times New Roman"/>
        </w:rPr>
        <w:t>ariable that is one if the firm</w:t>
      </w:r>
      <w:r w:rsidRPr="00110FED">
        <w:rPr>
          <w:rFonts w:ascii="Times New Roman" w:hAnsi="Times New Roman" w:cs="Times New Roman"/>
        </w:rPr>
        <w:t xml:space="preserve"> belong</w:t>
      </w:r>
      <w:r>
        <w:rPr>
          <w:rFonts w:ascii="Times New Roman" w:hAnsi="Times New Roman" w:cs="Times New Roman"/>
        </w:rPr>
        <w:t>s</w:t>
      </w:r>
      <w:r w:rsidRPr="00110FED">
        <w:rPr>
          <w:rFonts w:ascii="Times New Roman" w:hAnsi="Times New Roman" w:cs="Times New Roman"/>
        </w:rPr>
        <w:t xml:space="preserve"> to the treatment group</w:t>
      </w:r>
      <w:r>
        <w:rPr>
          <w:rFonts w:ascii="Times New Roman" w:hAnsi="Times New Roman" w:cs="Times New Roman"/>
        </w:rPr>
        <w:t xml:space="preserve"> and zero otherwise. The coeffi</w:t>
      </w:r>
      <w:r w:rsidRPr="00110FED">
        <w:rPr>
          <w:rFonts w:ascii="Times New Roman" w:hAnsi="Times New Roman" w:cs="Times New Roman"/>
        </w:rPr>
        <w:t xml:space="preserve">cient on the interaction term </w:t>
      </w:r>
      <m:oMath>
        <m:r>
          <w:rPr>
            <w:rFonts w:ascii="Cambria Math" w:hAnsi="Cambria Math" w:cs="Times New Roman"/>
          </w:rPr>
          <m:t>θ</m:t>
        </m:r>
      </m:oMath>
      <w:r w:rsidRPr="00110FED">
        <w:rPr>
          <w:rFonts w:ascii="Times New Roman" w:hAnsi="Times New Roman" w:cs="Times New Roman"/>
        </w:rPr>
        <w:t xml:space="preserve"> </w:t>
      </w:r>
      <w:r>
        <w:rPr>
          <w:rFonts w:ascii="Times New Roman" w:hAnsi="Times New Roman" w:cs="Times New Roman"/>
        </w:rPr>
        <w:t xml:space="preserve">gives the </w:t>
      </w:r>
      <w:r w:rsidR="00A41F5E">
        <w:rPr>
          <w:rFonts w:ascii="Times New Roman" w:eastAsia="Times New Roman" w:hAnsi="Times New Roman" w:cs="Times New Roman"/>
          <w:sz w:val="20"/>
          <w:szCs w:val="20"/>
        </w:rPr>
        <w:t>DID</w:t>
      </w:r>
      <w:r>
        <w:rPr>
          <w:rFonts w:ascii="Times New Roman" w:hAnsi="Times New Roman" w:cs="Times New Roman"/>
        </w:rPr>
        <w:t xml:space="preserve"> estimate of the </w:t>
      </w:r>
      <w:r w:rsidR="0043577E">
        <w:rPr>
          <w:rFonts w:ascii="Times New Roman" w:hAnsi="Times New Roman" w:cs="Times New Roman"/>
        </w:rPr>
        <w:t>e</w:t>
      </w:r>
      <w:r>
        <w:rPr>
          <w:rFonts w:ascii="Times New Roman" w:hAnsi="Times New Roman" w:cs="Times New Roman"/>
        </w:rPr>
        <w:t>ffect of the FAS 123R on hedging</w:t>
      </w:r>
      <w:proofErr w:type="gramStart"/>
      <w:r w:rsidR="007619CE">
        <w:rPr>
          <w:rFonts w:ascii="Times New Roman" w:hAnsi="Times New Roman" w:cs="Times New Roman"/>
        </w:rPr>
        <w:t xml:space="preserve">, </w:t>
      </w:r>
      <m:oMath>
        <w:proofErr w:type="gramEnd"/>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it</m:t>
            </m:r>
          </m:sub>
        </m:sSub>
      </m:oMath>
      <w:r w:rsidRPr="00110FED">
        <w:rPr>
          <w:rFonts w:ascii="Times New Roman" w:hAnsi="Times New Roman" w:cs="Times New Roman"/>
        </w:rPr>
        <w:t xml:space="preserve">. </w:t>
      </w:r>
      <w:r w:rsidR="00015135">
        <w:rPr>
          <w:rFonts w:ascii="Times New Roman" w:hAnsi="Times New Roman" w:cs="Times New Roman"/>
        </w:rPr>
        <w:t xml:space="preserve">FAS 123R noticeably reduced </w:t>
      </w:r>
      <w:proofErr w:type="spellStart"/>
      <w:proofErr w:type="gramStart"/>
      <w:r w:rsidR="00015135">
        <w:rPr>
          <w:rFonts w:ascii="Times New Roman" w:hAnsi="Times New Roman" w:cs="Times New Roman"/>
        </w:rPr>
        <w:t>vegas</w:t>
      </w:r>
      <w:proofErr w:type="spellEnd"/>
      <w:proofErr w:type="gramEnd"/>
      <w:r w:rsidR="00015135">
        <w:rPr>
          <w:rFonts w:ascii="Times New Roman" w:hAnsi="Times New Roman" w:cs="Times New Roman"/>
        </w:rPr>
        <w:t xml:space="preserve"> in treated firms thus reducing</w:t>
      </w:r>
      <w:r w:rsidR="00015135" w:rsidRPr="004049A6">
        <w:rPr>
          <w:rFonts w:ascii="Times New Roman" w:hAnsi="Times New Roman" w:cs="Times New Roman"/>
        </w:rPr>
        <w:t xml:space="preserve"> the sensitivity of CEO wealth to stock return volatili</w:t>
      </w:r>
      <w:r w:rsidR="00015135" w:rsidRPr="00795463">
        <w:rPr>
          <w:rFonts w:ascii="Times New Roman" w:hAnsi="Times New Roman" w:cs="Times New Roman"/>
        </w:rPr>
        <w:t>ty. This is predicted to increase hedging behavior in treated firms relative to control firms. We</w:t>
      </w:r>
      <w:r w:rsidR="00015135">
        <w:rPr>
          <w:rFonts w:ascii="Times New Roman" w:hAnsi="Times New Roman" w:cs="Times New Roman"/>
        </w:rPr>
        <w:t xml:space="preserve"> therefore expect</w:t>
      </w:r>
      <w:r w:rsidR="007619CE">
        <w:rPr>
          <w:rFonts w:ascii="Times New Roman" w:hAnsi="Times New Roman" w:cs="Times New Roman"/>
        </w:rPr>
        <w:t xml:space="preserve"> to observe </w:t>
      </w:r>
      <w:proofErr w:type="gramStart"/>
      <w:r w:rsidR="007619CE">
        <w:rPr>
          <w:rFonts w:ascii="Times New Roman" w:hAnsi="Times New Roman" w:cs="Times New Roman"/>
        </w:rPr>
        <w:t xml:space="preserve">that </w:t>
      </w:r>
      <m:oMath>
        <w:proofErr w:type="gramEnd"/>
        <m:r>
          <w:rPr>
            <w:rFonts w:ascii="Cambria Math" w:hAnsi="Cambria Math" w:cs="Times New Roman"/>
          </w:rPr>
          <m:t>θ&gt;0</m:t>
        </m:r>
      </m:oMath>
      <w:r w:rsidR="00015135">
        <w:rPr>
          <w:rFonts w:ascii="Times New Roman" w:hAnsi="Times New Roman" w:cs="Times New Roman"/>
        </w:rPr>
        <w:t>.</w:t>
      </w:r>
    </w:p>
    <w:p w:rsidR="00B0065C" w:rsidRDefault="00015135" w:rsidP="007C4E77">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r>
      <w:r w:rsidR="00110FED" w:rsidRPr="00110FED">
        <w:rPr>
          <w:rFonts w:ascii="Times New Roman" w:hAnsi="Times New Roman" w:cs="Times New Roman"/>
        </w:rPr>
        <w:t xml:space="preserve">Unbiased estimation of </w:t>
      </w:r>
      <m:oMath>
        <m:r>
          <w:rPr>
            <w:rFonts w:ascii="Cambria Math" w:hAnsi="Cambria Math" w:cs="Times New Roman"/>
          </w:rPr>
          <m:t>θ</m:t>
        </m:r>
      </m:oMath>
      <w:r w:rsidR="00110FED" w:rsidRPr="00110FED">
        <w:rPr>
          <w:rFonts w:ascii="Times New Roman" w:hAnsi="Times New Roman" w:cs="Times New Roman"/>
        </w:rPr>
        <w:t xml:space="preserve"> is not</w:t>
      </w:r>
      <w:r w:rsidR="00110FED">
        <w:rPr>
          <w:rFonts w:ascii="Times New Roman" w:hAnsi="Times New Roman" w:cs="Times New Roman"/>
        </w:rPr>
        <w:t xml:space="preserve"> aff</w:t>
      </w:r>
      <w:r w:rsidR="00110FED" w:rsidRPr="00110FED">
        <w:rPr>
          <w:rFonts w:ascii="Times New Roman" w:hAnsi="Times New Roman" w:cs="Times New Roman"/>
        </w:rPr>
        <w:t>ected by common trends in both the treated and co</w:t>
      </w:r>
      <w:r w:rsidR="00110FED">
        <w:rPr>
          <w:rFonts w:ascii="Times New Roman" w:hAnsi="Times New Roman" w:cs="Times New Roman"/>
        </w:rPr>
        <w:t>ntrol group, but trends that diff</w:t>
      </w:r>
      <w:r w:rsidR="00110FED" w:rsidRPr="00110FED">
        <w:rPr>
          <w:rFonts w:ascii="Times New Roman" w:hAnsi="Times New Roman" w:cs="Times New Roman"/>
        </w:rPr>
        <w:t>erentially</w:t>
      </w:r>
      <w:r w:rsidR="00110FED">
        <w:rPr>
          <w:rFonts w:ascii="Times New Roman" w:hAnsi="Times New Roman" w:cs="Times New Roman"/>
        </w:rPr>
        <w:t xml:space="preserve"> aff</w:t>
      </w:r>
      <w:r w:rsidR="00110FED" w:rsidRPr="00110FED">
        <w:rPr>
          <w:rFonts w:ascii="Times New Roman" w:hAnsi="Times New Roman" w:cs="Times New Roman"/>
        </w:rPr>
        <w:t>ect treatment and control groups</w:t>
      </w:r>
      <w:r w:rsidR="00110FED">
        <w:rPr>
          <w:rFonts w:ascii="Times New Roman" w:hAnsi="Times New Roman" w:cs="Times New Roman"/>
        </w:rPr>
        <w:t xml:space="preserve"> can induce bias in </w:t>
      </w:r>
      <m:oMath>
        <m:r>
          <w:rPr>
            <w:rFonts w:ascii="Cambria Math" w:hAnsi="Cambria Math" w:cs="Times New Roman"/>
          </w:rPr>
          <m:t>θ</m:t>
        </m:r>
      </m:oMath>
      <w:r w:rsidR="00110FED">
        <w:rPr>
          <w:rFonts w:ascii="Times New Roman" w:hAnsi="Times New Roman" w:cs="Times New Roman"/>
        </w:rPr>
        <w:t xml:space="preserve">; this known as the </w:t>
      </w:r>
      <w:r w:rsidR="00110FED" w:rsidRPr="00110FED">
        <w:rPr>
          <w:rFonts w:ascii="Times New Roman" w:hAnsi="Times New Roman" w:cs="Times New Roman"/>
        </w:rPr>
        <w:t>parallel trends</w:t>
      </w:r>
      <w:r w:rsidR="00110FED">
        <w:rPr>
          <w:rFonts w:ascii="Times New Roman" w:hAnsi="Times New Roman" w:cs="Times New Roman"/>
        </w:rPr>
        <w:t xml:space="preserve"> </w:t>
      </w:r>
      <w:r w:rsidR="00110FED" w:rsidRPr="00110FED">
        <w:rPr>
          <w:rFonts w:ascii="Times New Roman" w:hAnsi="Times New Roman" w:cs="Times New Roman"/>
        </w:rPr>
        <w:t>assumption</w:t>
      </w:r>
      <w:r w:rsidR="00110FED">
        <w:rPr>
          <w:rFonts w:ascii="Times New Roman" w:hAnsi="Times New Roman" w:cs="Times New Roman"/>
        </w:rPr>
        <w:t>. For instance, if treated firms</w:t>
      </w:r>
      <w:r w:rsidR="00110FED" w:rsidRPr="00110FED">
        <w:rPr>
          <w:rFonts w:ascii="Times New Roman" w:hAnsi="Times New Roman" w:cs="Times New Roman"/>
        </w:rPr>
        <w:t xml:space="preserve"> are hit w</w:t>
      </w:r>
      <w:r w:rsidR="00110FED">
        <w:rPr>
          <w:rFonts w:ascii="Times New Roman" w:hAnsi="Times New Roman" w:cs="Times New Roman"/>
        </w:rPr>
        <w:t xml:space="preserve">ith an unobserved </w:t>
      </w:r>
      <w:r w:rsidR="00110FED" w:rsidRPr="00110FED">
        <w:rPr>
          <w:rFonts w:ascii="Times New Roman" w:hAnsi="Times New Roman" w:cs="Times New Roman"/>
        </w:rPr>
        <w:t>shock</w:t>
      </w:r>
      <w:r w:rsidR="00110FED">
        <w:rPr>
          <w:rFonts w:ascii="Times New Roman" w:hAnsi="Times New Roman" w:cs="Times New Roman"/>
        </w:rPr>
        <w:t xml:space="preserve"> that coincides with the event and </w:t>
      </w:r>
      <w:r w:rsidR="00110FED" w:rsidRPr="00110FED">
        <w:rPr>
          <w:rFonts w:ascii="Times New Roman" w:hAnsi="Times New Roman" w:cs="Times New Roman"/>
        </w:rPr>
        <w:t>t</w:t>
      </w:r>
      <w:r w:rsidR="00110FED">
        <w:rPr>
          <w:rFonts w:ascii="Times New Roman" w:hAnsi="Times New Roman" w:cs="Times New Roman"/>
        </w:rPr>
        <w:t xml:space="preserve">hat also increases their incentives to hedge then this will bias our estimation </w:t>
      </w:r>
      <w:proofErr w:type="gramStart"/>
      <w:r w:rsidR="00110FED">
        <w:rPr>
          <w:rFonts w:ascii="Times New Roman" w:hAnsi="Times New Roman" w:cs="Times New Roman"/>
        </w:rPr>
        <w:t xml:space="preserve">of </w:t>
      </w:r>
      <m:oMath>
        <w:proofErr w:type="gramEnd"/>
        <m:r>
          <w:rPr>
            <w:rFonts w:ascii="Cambria Math" w:hAnsi="Cambria Math" w:cs="Times New Roman"/>
          </w:rPr>
          <m:t>θ</m:t>
        </m:r>
      </m:oMath>
      <w:r w:rsidR="00110FED" w:rsidRPr="00110FED">
        <w:rPr>
          <w:rFonts w:ascii="Times New Roman" w:hAnsi="Times New Roman" w:cs="Times New Roman"/>
        </w:rPr>
        <w:t xml:space="preserve">. </w:t>
      </w:r>
    </w:p>
    <w:p w:rsidR="00F0774E" w:rsidRDefault="00B0065C" w:rsidP="007C4E77">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r>
      <w:r w:rsidR="00110FED" w:rsidRPr="00110FED">
        <w:rPr>
          <w:rFonts w:ascii="Times New Roman" w:hAnsi="Times New Roman" w:cs="Times New Roman"/>
        </w:rPr>
        <w:t>To g</w:t>
      </w:r>
      <w:r w:rsidR="00110FED">
        <w:rPr>
          <w:rFonts w:ascii="Times New Roman" w:hAnsi="Times New Roman" w:cs="Times New Roman"/>
        </w:rPr>
        <w:t>uard against the presence of diff</w:t>
      </w:r>
      <w:r w:rsidR="00110FED" w:rsidRPr="00110FED">
        <w:rPr>
          <w:rFonts w:ascii="Times New Roman" w:hAnsi="Times New Roman" w:cs="Times New Roman"/>
        </w:rPr>
        <w:t>erential trends</w:t>
      </w:r>
      <w:r w:rsidR="00110FED">
        <w:rPr>
          <w:rFonts w:ascii="Times New Roman" w:hAnsi="Times New Roman" w:cs="Times New Roman"/>
        </w:rPr>
        <w:t xml:space="preserve"> we would ideally use</w:t>
      </w:r>
      <w:r w:rsidR="00110FED" w:rsidRPr="00110FED">
        <w:rPr>
          <w:rFonts w:ascii="Times New Roman" w:hAnsi="Times New Roman" w:cs="Times New Roman"/>
        </w:rPr>
        <w:t xml:space="preserve"> matching estimators</w:t>
      </w:r>
      <w:r w:rsidR="00110FED">
        <w:rPr>
          <w:rFonts w:ascii="Times New Roman" w:hAnsi="Times New Roman" w:cs="Times New Roman"/>
        </w:rPr>
        <w:t xml:space="preserve"> to find comparable firms</w:t>
      </w:r>
      <w:r w:rsidR="00110FED" w:rsidRPr="00110FED">
        <w:rPr>
          <w:rFonts w:ascii="Times New Roman" w:hAnsi="Times New Roman" w:cs="Times New Roman"/>
        </w:rPr>
        <w:t xml:space="preserve"> in the cont</w:t>
      </w:r>
      <w:r w:rsidR="00110FED">
        <w:rPr>
          <w:rFonts w:ascii="Times New Roman" w:hAnsi="Times New Roman" w:cs="Times New Roman"/>
        </w:rPr>
        <w:t>rol group for each treated firm</w:t>
      </w:r>
      <w:r w:rsidR="00110FED" w:rsidRPr="00110FED">
        <w:rPr>
          <w:rFonts w:ascii="Times New Roman" w:hAnsi="Times New Roman" w:cs="Times New Roman"/>
        </w:rPr>
        <w:t xml:space="preserve">. </w:t>
      </w:r>
      <w:r w:rsidR="0072705B">
        <w:rPr>
          <w:rFonts w:ascii="Times New Roman" w:hAnsi="Times New Roman" w:cs="Times New Roman"/>
        </w:rPr>
        <w:t xml:space="preserve">Unfortunately </w:t>
      </w:r>
      <w:r w:rsidR="00110FED">
        <w:rPr>
          <w:rFonts w:ascii="Times New Roman" w:hAnsi="Times New Roman" w:cs="Times New Roman"/>
        </w:rPr>
        <w:t xml:space="preserve">our hand collected sample is too small to make matching feasible. Instead we check that the treated and control firms have similar </w:t>
      </w:r>
      <w:r w:rsidR="00110FED">
        <w:rPr>
          <w:rFonts w:ascii="Times New Roman" w:hAnsi="Times New Roman" w:cs="Times New Roman"/>
        </w:rPr>
        <w:lastRenderedPageBreak/>
        <w:t>firm characteristics before the event</w:t>
      </w:r>
      <w:r w:rsidR="00F0774E">
        <w:rPr>
          <w:rFonts w:ascii="Times New Roman" w:hAnsi="Times New Roman" w:cs="Times New Roman"/>
        </w:rPr>
        <w:t>.</w:t>
      </w:r>
      <w:r w:rsidR="00110FED">
        <w:rPr>
          <w:rFonts w:ascii="Times New Roman" w:hAnsi="Times New Roman" w:cs="Times New Roman"/>
        </w:rPr>
        <w:t xml:space="preserve"> </w:t>
      </w:r>
      <w:r w:rsidR="0072705B">
        <w:rPr>
          <w:rFonts w:ascii="Times New Roman" w:hAnsi="Times New Roman" w:cs="Times New Roman"/>
        </w:rPr>
        <w:t>This ensures that treated and control firms</w:t>
      </w:r>
      <w:r w:rsidR="00110FED">
        <w:rPr>
          <w:rFonts w:ascii="Times New Roman" w:hAnsi="Times New Roman" w:cs="Times New Roman"/>
        </w:rPr>
        <w:t xml:space="preserve"> are</w:t>
      </w:r>
      <w:r w:rsidR="00110FED" w:rsidRPr="00110FED">
        <w:rPr>
          <w:rFonts w:ascii="Times New Roman" w:hAnsi="Times New Roman" w:cs="Times New Roman"/>
        </w:rPr>
        <w:t xml:space="preserve"> more likely to experience</w:t>
      </w:r>
      <w:r w:rsidR="00110FED">
        <w:rPr>
          <w:rFonts w:ascii="Times New Roman" w:hAnsi="Times New Roman" w:cs="Times New Roman"/>
        </w:rPr>
        <w:t xml:space="preserve"> </w:t>
      </w:r>
      <w:r w:rsidR="00110FED" w:rsidRPr="00110FED">
        <w:rPr>
          <w:rFonts w:ascii="Times New Roman" w:hAnsi="Times New Roman" w:cs="Times New Roman"/>
        </w:rPr>
        <w:t>common trends around the event window</w:t>
      </w:r>
      <w:r w:rsidR="00110FED">
        <w:rPr>
          <w:rFonts w:ascii="Times New Roman" w:hAnsi="Times New Roman" w:cs="Times New Roman"/>
        </w:rPr>
        <w:t xml:space="preserve"> – and the parallels trend assumption is less likely to be violated.</w:t>
      </w:r>
      <w:r w:rsidR="00F0774E">
        <w:rPr>
          <w:rFonts w:ascii="Times New Roman" w:hAnsi="Times New Roman" w:cs="Times New Roman"/>
        </w:rPr>
        <w:t xml:space="preserve"> To further ensure our estimates of </w:t>
      </w:r>
      <m:oMath>
        <m:r>
          <w:rPr>
            <w:rFonts w:ascii="Cambria Math" w:hAnsi="Cambria Math" w:cs="Times New Roman"/>
          </w:rPr>
          <m:t>θ</m:t>
        </m:r>
      </m:oMath>
      <w:r w:rsidR="00F0774E">
        <w:rPr>
          <w:rFonts w:ascii="Times New Roman" w:hAnsi="Times New Roman" w:cs="Times New Roman"/>
        </w:rPr>
        <w:t xml:space="preserve">  are consistent and robust we do a variety of tests including placebo tests, different control variables, two different control groups etc. We discuss all this in greater detail in the results section below. </w:t>
      </w:r>
    </w:p>
    <w:p w:rsidR="0069245F" w:rsidRPr="005B0592" w:rsidRDefault="0069245F" w:rsidP="005B0592">
      <w:pPr>
        <w:autoSpaceDE w:val="0"/>
        <w:autoSpaceDN w:val="0"/>
        <w:adjustRightInd w:val="0"/>
        <w:spacing w:after="0" w:line="240" w:lineRule="auto"/>
        <w:rPr>
          <w:rFonts w:ascii="NewBaskerville-Roman" w:hAnsi="NewBaskerville-Roman" w:cs="NewBaskerville-Roman"/>
        </w:rPr>
      </w:pPr>
    </w:p>
    <w:p w:rsidR="005B0592" w:rsidRDefault="005B0592" w:rsidP="005B0592">
      <w:pPr>
        <w:autoSpaceDE w:val="0"/>
        <w:autoSpaceDN w:val="0"/>
        <w:adjustRightInd w:val="0"/>
        <w:spacing w:after="0" w:line="240" w:lineRule="auto"/>
        <w:rPr>
          <w:rFonts w:ascii="NewBaskerville-Roman" w:hAnsi="NewBaskerville-Roman" w:cs="NewBaskerville-Roman"/>
          <w:sz w:val="12"/>
          <w:szCs w:val="12"/>
        </w:rPr>
      </w:pPr>
    </w:p>
    <w:p w:rsidR="00CC69B3" w:rsidRPr="00F06CFF" w:rsidRDefault="00CC69B3" w:rsidP="00F06CFF">
      <w:pPr>
        <w:pStyle w:val="ListParagraph"/>
        <w:keepNext/>
        <w:numPr>
          <w:ilvl w:val="0"/>
          <w:numId w:val="3"/>
        </w:numPr>
        <w:spacing w:after="0" w:line="480" w:lineRule="auto"/>
        <w:ind w:hanging="648"/>
        <w:outlineLvl w:val="0"/>
        <w:rPr>
          <w:rFonts w:ascii="Times New Roman" w:eastAsia="Times New Roman" w:hAnsi="Times New Roman" w:cs="Times New Roman"/>
          <w:b/>
          <w:bCs/>
        </w:rPr>
      </w:pPr>
      <w:r w:rsidRPr="00F06CFF">
        <w:rPr>
          <w:rFonts w:ascii="Times New Roman" w:eastAsia="Times New Roman" w:hAnsi="Times New Roman" w:cs="Times New Roman"/>
          <w:b/>
          <w:bCs/>
        </w:rPr>
        <w:t>Data and Methodology</w:t>
      </w:r>
    </w:p>
    <w:p w:rsidR="00C950A9" w:rsidRDefault="00F564EC" w:rsidP="005A4611">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Our analysis is based on a sample </w:t>
      </w:r>
      <w:r w:rsidR="00363894">
        <w:rPr>
          <w:rFonts w:ascii="Times New Roman" w:eastAsia="Times New Roman" w:hAnsi="Times New Roman" w:cs="Times New Roman"/>
        </w:rPr>
        <w:t>of</w:t>
      </w:r>
      <w:r w:rsidRPr="00D93A8C">
        <w:rPr>
          <w:rFonts w:ascii="Times New Roman" w:eastAsia="Times New Roman" w:hAnsi="Times New Roman" w:cs="Times New Roman"/>
        </w:rPr>
        <w:t xml:space="preserve"> oil and</w:t>
      </w:r>
      <w:r>
        <w:rPr>
          <w:rFonts w:ascii="Times New Roman" w:eastAsia="Times New Roman" w:hAnsi="Times New Roman" w:cs="Times New Roman"/>
        </w:rPr>
        <w:t xml:space="preserve"> gas producing </w:t>
      </w:r>
      <w:r w:rsidRPr="00367626">
        <w:rPr>
          <w:rFonts w:ascii="Times New Roman" w:eastAsia="Times New Roman" w:hAnsi="Times New Roman" w:cs="Times New Roman"/>
        </w:rPr>
        <w:t>firms (SIC code 1311)</w:t>
      </w:r>
      <w:r w:rsidR="006236A1">
        <w:rPr>
          <w:rFonts w:ascii="Times New Roman" w:eastAsia="Times New Roman" w:hAnsi="Times New Roman" w:cs="Times New Roman"/>
        </w:rPr>
        <w:t xml:space="preserve"> </w:t>
      </w:r>
      <w:r w:rsidR="006236A1" w:rsidRPr="00367626">
        <w:rPr>
          <w:rFonts w:ascii="Times New Roman" w:eastAsia="Times New Roman" w:hAnsi="Times New Roman" w:cs="Times New Roman"/>
        </w:rPr>
        <w:t xml:space="preserve">between </w:t>
      </w:r>
      <w:r w:rsidR="006236A1">
        <w:rPr>
          <w:rFonts w:ascii="Times New Roman" w:eastAsia="Times New Roman" w:hAnsi="Times New Roman" w:cs="Times New Roman"/>
        </w:rPr>
        <w:t>2003</w:t>
      </w:r>
      <w:r w:rsidR="006236A1" w:rsidRPr="00367626">
        <w:rPr>
          <w:rFonts w:ascii="Times New Roman" w:eastAsia="Times New Roman" w:hAnsi="Times New Roman" w:cs="Times New Roman"/>
        </w:rPr>
        <w:t xml:space="preserve"> and </w:t>
      </w:r>
      <w:r w:rsidR="006236A1">
        <w:rPr>
          <w:rFonts w:ascii="Times New Roman" w:eastAsia="Times New Roman" w:hAnsi="Times New Roman" w:cs="Times New Roman"/>
        </w:rPr>
        <w:t>2006</w:t>
      </w:r>
      <w:r>
        <w:rPr>
          <w:rFonts w:ascii="Times New Roman" w:eastAsia="Times New Roman" w:hAnsi="Times New Roman" w:cs="Times New Roman"/>
        </w:rPr>
        <w:t>.</w:t>
      </w:r>
      <w:r w:rsidR="00B87442">
        <w:rPr>
          <w:rFonts w:ascii="Times New Roman" w:eastAsia="Times New Roman" w:hAnsi="Times New Roman" w:cs="Times New Roman"/>
        </w:rPr>
        <w:t xml:space="preserve"> SIC </w:t>
      </w:r>
      <w:r w:rsidR="006236A1">
        <w:rPr>
          <w:rFonts w:ascii="Times New Roman" w:eastAsia="Times New Roman" w:hAnsi="Times New Roman" w:cs="Times New Roman"/>
        </w:rPr>
        <w:t>1311 firms engage primarily in exploration and extraction of natural gas and crude petroleum.</w:t>
      </w:r>
      <w:r w:rsidR="00CA3774">
        <w:rPr>
          <w:rFonts w:ascii="Times New Roman" w:eastAsia="Times New Roman" w:hAnsi="Times New Roman" w:cs="Times New Roman"/>
        </w:rPr>
        <w:t xml:space="preserve"> </w:t>
      </w:r>
      <w:r w:rsidR="006236A1">
        <w:rPr>
          <w:rFonts w:ascii="Times New Roman" w:eastAsia="Times New Roman" w:hAnsi="Times New Roman" w:cs="Times New Roman"/>
        </w:rPr>
        <w:t xml:space="preserve">We choose </w:t>
      </w:r>
      <w:r w:rsidR="00B87442">
        <w:rPr>
          <w:rFonts w:ascii="Times New Roman" w:eastAsia="Times New Roman" w:hAnsi="Times New Roman" w:cs="Times New Roman"/>
        </w:rPr>
        <w:t xml:space="preserve">SIC </w:t>
      </w:r>
      <w:r w:rsidR="006236A1">
        <w:rPr>
          <w:rFonts w:ascii="Times New Roman" w:eastAsia="Times New Roman" w:hAnsi="Times New Roman" w:cs="Times New Roman"/>
        </w:rPr>
        <w:t>1311 firms as these firms are relatively homogenous in their exposure to commodity prices and consequently similar in there hedging demands (i.e. they hedge by going short or by using fixed price contracts). This fact help</w:t>
      </w:r>
      <w:r w:rsidR="005E6D11">
        <w:rPr>
          <w:rFonts w:ascii="Times New Roman" w:eastAsia="Times New Roman" w:hAnsi="Times New Roman" w:cs="Times New Roman"/>
        </w:rPr>
        <w:t>s</w:t>
      </w:r>
      <w:r w:rsidR="006236A1">
        <w:rPr>
          <w:rFonts w:ascii="Times New Roman" w:eastAsia="Times New Roman" w:hAnsi="Times New Roman" w:cs="Times New Roman"/>
        </w:rPr>
        <w:t xml:space="preserve"> minimize the problem of omitted variables and/or spurious correlations that we would face if we did a cross-industry study. </w:t>
      </w:r>
      <w:r w:rsidRPr="00367626">
        <w:rPr>
          <w:rFonts w:ascii="Times New Roman" w:eastAsia="Times New Roman" w:hAnsi="Times New Roman" w:cs="Times New Roman"/>
        </w:rPr>
        <w:t xml:space="preserve"> </w:t>
      </w:r>
      <w:r w:rsidR="006236A1">
        <w:rPr>
          <w:rFonts w:ascii="Times New Roman" w:eastAsia="Times New Roman" w:hAnsi="Times New Roman" w:cs="Times New Roman"/>
        </w:rPr>
        <w:t xml:space="preserve">For instance, we exclude many large oil companies (ExxonMobil, Chevron Texaco, </w:t>
      </w:r>
      <w:proofErr w:type="spellStart"/>
      <w:r w:rsidR="006236A1">
        <w:rPr>
          <w:rFonts w:ascii="Times New Roman" w:eastAsia="Times New Roman" w:hAnsi="Times New Roman" w:cs="Times New Roman"/>
        </w:rPr>
        <w:t>ConocoPhilips</w:t>
      </w:r>
      <w:proofErr w:type="spellEnd"/>
      <w:r w:rsidR="006236A1">
        <w:rPr>
          <w:rFonts w:ascii="Times New Roman" w:eastAsia="Times New Roman" w:hAnsi="Times New Roman" w:cs="Times New Roman"/>
        </w:rPr>
        <w:t xml:space="preserve"> etc.) as they belong to SIC code 2911 (Petroleum Refining). These firms are vertically integrated and are more naturally hedged than pure-play </w:t>
      </w:r>
      <w:r w:rsidR="00B87442">
        <w:rPr>
          <w:rFonts w:ascii="Times New Roman" w:eastAsia="Times New Roman" w:hAnsi="Times New Roman" w:cs="Times New Roman"/>
        </w:rPr>
        <w:t xml:space="preserve">SIC </w:t>
      </w:r>
      <w:r w:rsidR="006236A1">
        <w:rPr>
          <w:rFonts w:ascii="Times New Roman" w:eastAsia="Times New Roman" w:hAnsi="Times New Roman" w:cs="Times New Roman"/>
        </w:rPr>
        <w:t>1311 firms.</w:t>
      </w:r>
      <w:r w:rsidR="009F5C71">
        <w:rPr>
          <w:rFonts w:ascii="Times New Roman" w:eastAsia="Times New Roman" w:hAnsi="Times New Roman" w:cs="Times New Roman"/>
        </w:rPr>
        <w:t xml:space="preserve"> Thus their hedging demands are more diverse and more difficult to estimate precisely.</w:t>
      </w:r>
    </w:p>
    <w:p w:rsidR="00C950A9" w:rsidRDefault="00FE2E7D" w:rsidP="005A4611">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Another reason we focus on the oil and gas industry is that </w:t>
      </w:r>
      <w:r w:rsidR="00C77432">
        <w:rPr>
          <w:rFonts w:ascii="Times New Roman" w:eastAsia="Times New Roman" w:hAnsi="Times New Roman" w:cs="Times New Roman"/>
        </w:rPr>
        <w:t xml:space="preserve">firms in this industry </w:t>
      </w:r>
      <w:r>
        <w:rPr>
          <w:rFonts w:ascii="Times New Roman" w:eastAsia="Times New Roman" w:hAnsi="Times New Roman" w:cs="Times New Roman"/>
        </w:rPr>
        <w:t xml:space="preserve">are exemplary in disclosing detailed derivative activity to the public. </w:t>
      </w:r>
      <w:proofErr w:type="spellStart"/>
      <w:r>
        <w:rPr>
          <w:rFonts w:ascii="Times New Roman" w:eastAsia="Times New Roman" w:hAnsi="Times New Roman" w:cs="Times New Roman"/>
        </w:rPr>
        <w:t>Purnana</w:t>
      </w:r>
      <w:r w:rsidR="00C77432">
        <w:rPr>
          <w:rFonts w:ascii="Times New Roman" w:eastAsia="Times New Roman" w:hAnsi="Times New Roman" w:cs="Times New Roman"/>
        </w:rPr>
        <w:t>n</w:t>
      </w:r>
      <w:r>
        <w:rPr>
          <w:rFonts w:ascii="Times New Roman" w:eastAsia="Times New Roman" w:hAnsi="Times New Roman" w:cs="Times New Roman"/>
        </w:rPr>
        <w:t>dam</w:t>
      </w:r>
      <w:proofErr w:type="spellEnd"/>
      <w:r>
        <w:rPr>
          <w:rFonts w:ascii="Times New Roman" w:eastAsia="Times New Roman" w:hAnsi="Times New Roman" w:cs="Times New Roman"/>
        </w:rPr>
        <w:t xml:space="preserve"> (2008) discusses the difficulty in identifying contract specific information for commodity derivative holdings of U</w:t>
      </w:r>
      <w:r w:rsidR="00C77432">
        <w:rPr>
          <w:rFonts w:ascii="Times New Roman" w:eastAsia="Times New Roman" w:hAnsi="Times New Roman" w:cs="Times New Roman"/>
        </w:rPr>
        <w:t>.</w:t>
      </w:r>
      <w:r>
        <w:rPr>
          <w:rFonts w:ascii="Times New Roman" w:eastAsia="Times New Roman" w:hAnsi="Times New Roman" w:cs="Times New Roman"/>
        </w:rPr>
        <w:t>S</w:t>
      </w:r>
      <w:r w:rsidR="00944BB1">
        <w:rPr>
          <w:rFonts w:ascii="Times New Roman" w:eastAsia="Times New Roman" w:hAnsi="Times New Roman" w:cs="Times New Roman"/>
        </w:rPr>
        <w:t>.</w:t>
      </w:r>
      <w:r>
        <w:rPr>
          <w:rFonts w:ascii="Times New Roman" w:eastAsia="Times New Roman" w:hAnsi="Times New Roman" w:cs="Times New Roman"/>
        </w:rPr>
        <w:t xml:space="preserve"> corporations. The oil and gas industry is unique in that sense because they provide detailed information of each derivative contract – including the notional amount, derivative type, specific details of the underlying commodity, and maturity.</w:t>
      </w:r>
      <w:r w:rsidR="00634EF3">
        <w:rPr>
          <w:rFonts w:ascii="Times New Roman" w:eastAsia="Times New Roman" w:hAnsi="Times New Roman" w:cs="Times New Roman"/>
        </w:rPr>
        <w:t xml:space="preserve"> </w:t>
      </w:r>
    </w:p>
    <w:p w:rsidR="00604BD5" w:rsidRPr="005A4611" w:rsidRDefault="00634EF3" w:rsidP="005A4611">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third advantage </w:t>
      </w:r>
      <w:r w:rsidR="00B87442">
        <w:rPr>
          <w:rFonts w:ascii="Times New Roman" w:eastAsia="Times New Roman" w:hAnsi="Times New Roman" w:cs="Times New Roman"/>
        </w:rPr>
        <w:t>of focusing on oil and gas firms stems from a lower likelihood that these firms use stock grants with performance-based vesting provisions, which</w:t>
      </w:r>
      <w:r w:rsidR="00C950A9">
        <w:rPr>
          <w:rFonts w:ascii="Times New Roman" w:eastAsia="Times New Roman" w:hAnsi="Times New Roman" w:cs="Times New Roman"/>
        </w:rPr>
        <w:t xml:space="preserve"> introduce </w:t>
      </w:r>
      <w:r w:rsidR="008964A7">
        <w:rPr>
          <w:rFonts w:ascii="Times New Roman" w:eastAsia="Times New Roman" w:hAnsi="Times New Roman" w:cs="Times New Roman"/>
        </w:rPr>
        <w:t xml:space="preserve">convexity </w:t>
      </w:r>
      <w:r w:rsidR="00B87442">
        <w:rPr>
          <w:rFonts w:ascii="Times New Roman" w:eastAsia="Times New Roman" w:hAnsi="Times New Roman" w:cs="Times New Roman"/>
        </w:rPr>
        <w:t>in executive compensation without option</w:t>
      </w:r>
      <w:r w:rsidR="00C950A9">
        <w:rPr>
          <w:rFonts w:ascii="Times New Roman" w:eastAsia="Times New Roman" w:hAnsi="Times New Roman" w:cs="Times New Roman"/>
        </w:rPr>
        <w:t>s</w:t>
      </w:r>
      <w:r w:rsidR="00B87442">
        <w:rPr>
          <w:rFonts w:ascii="Times New Roman" w:eastAsia="Times New Roman" w:hAnsi="Times New Roman" w:cs="Times New Roman"/>
        </w:rPr>
        <w:t xml:space="preserve"> and potentially confound the measurement of </w:t>
      </w:r>
      <w:proofErr w:type="spellStart"/>
      <w:proofErr w:type="gramStart"/>
      <w:r w:rsidR="008964A7">
        <w:rPr>
          <w:rFonts w:ascii="Times New Roman" w:eastAsia="Times New Roman" w:hAnsi="Times New Roman" w:cs="Times New Roman"/>
        </w:rPr>
        <w:t>vega</w:t>
      </w:r>
      <w:proofErr w:type="spellEnd"/>
      <w:proofErr w:type="gramEnd"/>
      <w:r w:rsidR="008964A7">
        <w:rPr>
          <w:rFonts w:ascii="Times New Roman" w:eastAsia="Times New Roman" w:hAnsi="Times New Roman" w:cs="Times New Roman"/>
        </w:rPr>
        <w:t xml:space="preserve">. </w:t>
      </w:r>
      <w:r w:rsidR="00B87442">
        <w:rPr>
          <w:rFonts w:ascii="Times New Roman" w:eastAsia="Times New Roman" w:hAnsi="Times New Roman" w:cs="Times New Roman"/>
        </w:rPr>
        <w:t xml:space="preserve">Bettis, </w:t>
      </w:r>
      <w:proofErr w:type="spellStart"/>
      <w:r w:rsidR="00B87442">
        <w:rPr>
          <w:rFonts w:ascii="Times New Roman" w:eastAsia="Times New Roman" w:hAnsi="Times New Roman" w:cs="Times New Roman"/>
        </w:rPr>
        <w:t>Bizjak</w:t>
      </w:r>
      <w:proofErr w:type="spellEnd"/>
      <w:r w:rsidR="00B87442">
        <w:rPr>
          <w:rFonts w:ascii="Times New Roman" w:eastAsia="Times New Roman" w:hAnsi="Times New Roman" w:cs="Times New Roman"/>
        </w:rPr>
        <w:t xml:space="preserve">, Coles, and </w:t>
      </w:r>
      <w:proofErr w:type="spellStart"/>
      <w:r w:rsidR="00B87442">
        <w:rPr>
          <w:rFonts w:ascii="Times New Roman" w:eastAsia="Times New Roman" w:hAnsi="Times New Roman" w:cs="Times New Roman"/>
        </w:rPr>
        <w:t>Kalpathy</w:t>
      </w:r>
      <w:proofErr w:type="spellEnd"/>
      <w:r w:rsidR="00B87442">
        <w:rPr>
          <w:rFonts w:ascii="Times New Roman" w:eastAsia="Times New Roman" w:hAnsi="Times New Roman" w:cs="Times New Roman"/>
        </w:rPr>
        <w:t xml:space="preserve"> (2010) note that the use of performance-based vesting conditions have been growing </w:t>
      </w:r>
      <w:r w:rsidR="00B87442">
        <w:rPr>
          <w:rFonts w:ascii="Times New Roman" w:eastAsia="Times New Roman" w:hAnsi="Times New Roman" w:cs="Times New Roman"/>
        </w:rPr>
        <w:lastRenderedPageBreak/>
        <w:t>recently</w:t>
      </w:r>
      <w:r w:rsidR="00C950A9">
        <w:rPr>
          <w:rFonts w:ascii="Times New Roman" w:eastAsia="Times New Roman" w:hAnsi="Times New Roman" w:cs="Times New Roman"/>
        </w:rPr>
        <w:t xml:space="preserve">, especially in the aftermath of FAS 123R that eliminated the favorable accounting treatment of traditional option awards. </w:t>
      </w:r>
      <w:proofErr w:type="gramStart"/>
      <w:r w:rsidR="00C950A9">
        <w:rPr>
          <w:rFonts w:ascii="Times New Roman" w:eastAsia="Times New Roman" w:hAnsi="Times New Roman" w:cs="Times New Roman"/>
        </w:rPr>
        <w:t>Bettis et al. (2010) s</w:t>
      </w:r>
      <w:r w:rsidR="008964A7">
        <w:rPr>
          <w:rFonts w:ascii="Times New Roman" w:eastAsia="Times New Roman" w:hAnsi="Times New Roman" w:cs="Times New Roman"/>
        </w:rPr>
        <w:t xml:space="preserve">how that the use of performance-based </w:t>
      </w:r>
      <w:r w:rsidR="00C950A9">
        <w:rPr>
          <w:rFonts w:ascii="Times New Roman" w:eastAsia="Times New Roman" w:hAnsi="Times New Roman" w:cs="Times New Roman"/>
        </w:rPr>
        <w:t>vesting provisions is more common among complex firms, such as large, diversified firms and firms with higher investment in R&amp;D and high stock volatility.</w:t>
      </w:r>
      <w:proofErr w:type="gramEnd"/>
      <w:r w:rsidR="00C950A9">
        <w:rPr>
          <w:rFonts w:ascii="Times New Roman" w:eastAsia="Times New Roman" w:hAnsi="Times New Roman" w:cs="Times New Roman"/>
        </w:rPr>
        <w:t xml:space="preserve"> </w:t>
      </w:r>
      <w:r w:rsidR="00C950A9" w:rsidRPr="00C950A9">
        <w:rPr>
          <w:rFonts w:ascii="Times New Roman" w:eastAsia="Times New Roman" w:hAnsi="Times New Roman" w:cs="Times New Roman"/>
        </w:rPr>
        <w:t xml:space="preserve">The </w:t>
      </w:r>
      <w:r w:rsidR="008964A7">
        <w:rPr>
          <w:rFonts w:ascii="Times New Roman" w:eastAsia="Times New Roman" w:hAnsi="Times New Roman" w:cs="Times New Roman"/>
        </w:rPr>
        <w:t xml:space="preserve">SIC 1311 </w:t>
      </w:r>
      <w:r w:rsidR="00C950A9" w:rsidRPr="00C950A9">
        <w:rPr>
          <w:rFonts w:ascii="Times New Roman" w:eastAsia="Times New Roman" w:hAnsi="Times New Roman" w:cs="Times New Roman"/>
        </w:rPr>
        <w:t xml:space="preserve">oil and gas </w:t>
      </w:r>
      <w:r w:rsidR="008964A7">
        <w:rPr>
          <w:rFonts w:ascii="Times New Roman" w:eastAsia="Times New Roman" w:hAnsi="Times New Roman" w:cs="Times New Roman"/>
        </w:rPr>
        <w:t>firms in our sample are far from this description, being characterized by low levels of diversification, complexity, and R&amp;D investment.</w:t>
      </w:r>
      <w:r w:rsidR="008964A7">
        <w:rPr>
          <w:rStyle w:val="FootnoteReference"/>
          <w:rFonts w:ascii="Times New Roman" w:eastAsia="Times New Roman" w:hAnsi="Times New Roman" w:cs="Times New Roman"/>
        </w:rPr>
        <w:footnoteReference w:id="14"/>
      </w:r>
      <w:r>
        <w:rPr>
          <w:rFonts w:ascii="Times New Roman" w:eastAsia="Times New Roman" w:hAnsi="Times New Roman" w:cs="Times New Roman"/>
        </w:rPr>
        <w:t xml:space="preserve"> </w:t>
      </w:r>
    </w:p>
    <w:p w:rsidR="004537D9" w:rsidRPr="00795580" w:rsidRDefault="00015135" w:rsidP="00795463">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To quantify hedging behavior we</w:t>
      </w:r>
      <w:r w:rsidR="00367626" w:rsidRPr="007E5836">
        <w:rPr>
          <w:rFonts w:ascii="Times New Roman" w:hAnsi="Times New Roman" w:cs="Times New Roman"/>
        </w:rPr>
        <w:t xml:space="preserve"> </w:t>
      </w:r>
      <w:r w:rsidR="00BD0E05">
        <w:rPr>
          <w:rFonts w:ascii="Times New Roman" w:hAnsi="Times New Roman" w:cs="Times New Roman"/>
        </w:rPr>
        <w:t xml:space="preserve">hand </w:t>
      </w:r>
      <w:r w:rsidR="00367626" w:rsidRPr="007E5836">
        <w:rPr>
          <w:rFonts w:ascii="Times New Roman" w:hAnsi="Times New Roman" w:cs="Times New Roman"/>
        </w:rPr>
        <w:t>collect derivative</w:t>
      </w:r>
      <w:r w:rsidR="00367626">
        <w:rPr>
          <w:rFonts w:ascii="Times New Roman" w:hAnsi="Times New Roman" w:cs="Times New Roman"/>
        </w:rPr>
        <w:t>s</w:t>
      </w:r>
      <w:r w:rsidR="00F564EC">
        <w:rPr>
          <w:rFonts w:ascii="Times New Roman" w:hAnsi="Times New Roman" w:cs="Times New Roman"/>
        </w:rPr>
        <w:t xml:space="preserve"> positions the firms’</w:t>
      </w:r>
      <w:r w:rsidR="00367626" w:rsidRPr="007E5836">
        <w:rPr>
          <w:rFonts w:ascii="Times New Roman" w:hAnsi="Times New Roman" w:cs="Times New Roman"/>
        </w:rPr>
        <w:t>10-K reports</w:t>
      </w:r>
      <w:r>
        <w:rPr>
          <w:rFonts w:ascii="Times New Roman" w:hAnsi="Times New Roman" w:cs="Times New Roman"/>
        </w:rPr>
        <w:t xml:space="preserve"> on Edgar</w:t>
      </w:r>
      <w:r w:rsidR="00367626" w:rsidRPr="007E5836">
        <w:rPr>
          <w:rFonts w:ascii="Times New Roman" w:hAnsi="Times New Roman" w:cs="Times New Roman"/>
        </w:rPr>
        <w:t xml:space="preserve">. Firms usually disclose derivative positions in item 7A. In the oil and gas industry in particular, firms </w:t>
      </w:r>
      <w:r w:rsidR="00367626">
        <w:rPr>
          <w:rFonts w:ascii="Times New Roman" w:hAnsi="Times New Roman" w:cs="Times New Roman"/>
        </w:rPr>
        <w:t xml:space="preserve">typically </w:t>
      </w:r>
      <w:r w:rsidR="00367626" w:rsidRPr="007E5836">
        <w:rPr>
          <w:rFonts w:ascii="Times New Roman" w:hAnsi="Times New Roman" w:cs="Times New Roman"/>
        </w:rPr>
        <w:t>report their use of oil</w:t>
      </w:r>
      <w:r w:rsidR="00C52B63">
        <w:rPr>
          <w:rFonts w:ascii="Times New Roman" w:hAnsi="Times New Roman" w:cs="Times New Roman"/>
        </w:rPr>
        <w:t xml:space="preserve"> and </w:t>
      </w:r>
      <w:r w:rsidR="00367626" w:rsidRPr="007E5836">
        <w:rPr>
          <w:rFonts w:ascii="Times New Roman" w:hAnsi="Times New Roman" w:cs="Times New Roman"/>
        </w:rPr>
        <w:t>gas derivative contracts clearly (most times in tabulated format). We collect the contract type (forward, future, call, put swaps, etc.), the contract maturity, amount sold in the future (firms sometimes provide these figures on a p</w:t>
      </w:r>
      <w:r w:rsidR="00367626">
        <w:rPr>
          <w:rFonts w:ascii="Times New Roman" w:hAnsi="Times New Roman" w:cs="Times New Roman"/>
        </w:rPr>
        <w:t xml:space="preserve">er day basis and sometimes in </w:t>
      </w:r>
      <w:r w:rsidR="00367626" w:rsidRPr="007E5836">
        <w:rPr>
          <w:rFonts w:ascii="Times New Roman" w:hAnsi="Times New Roman" w:cs="Times New Roman"/>
        </w:rPr>
        <w:t xml:space="preserve">aggregate), type of commodity (sweet, Brent, etc.) and price of the commodity in the agreement. </w:t>
      </w:r>
      <w:r w:rsidR="00367626">
        <w:rPr>
          <w:rFonts w:ascii="Times New Roman" w:hAnsi="Times New Roman" w:cs="Times New Roman"/>
        </w:rPr>
        <w:t xml:space="preserve">As in </w:t>
      </w:r>
      <w:r w:rsidR="00367626" w:rsidRPr="007E5836">
        <w:rPr>
          <w:rFonts w:ascii="Times New Roman" w:hAnsi="Times New Roman" w:cs="Times New Roman"/>
        </w:rPr>
        <w:t xml:space="preserve">Jin and </w:t>
      </w:r>
      <w:proofErr w:type="spellStart"/>
      <w:r w:rsidR="00367626" w:rsidRPr="007E5836">
        <w:rPr>
          <w:rFonts w:ascii="Times New Roman" w:hAnsi="Times New Roman" w:cs="Times New Roman"/>
        </w:rPr>
        <w:t>Jorion</w:t>
      </w:r>
      <w:proofErr w:type="spellEnd"/>
      <w:r w:rsidR="00367626" w:rsidRPr="007E5836">
        <w:rPr>
          <w:rFonts w:ascii="Times New Roman" w:hAnsi="Times New Roman" w:cs="Times New Roman"/>
        </w:rPr>
        <w:t xml:space="preserve"> (2006), we only consider directional positions and therefore ignore such things as </w:t>
      </w:r>
      <w:r w:rsidR="005E6D11">
        <w:rPr>
          <w:rFonts w:ascii="Times New Roman" w:hAnsi="Times New Roman" w:cs="Times New Roman"/>
        </w:rPr>
        <w:t>basis</w:t>
      </w:r>
      <w:r w:rsidR="005E6D11" w:rsidRPr="007E5836">
        <w:rPr>
          <w:rFonts w:ascii="Times New Roman" w:hAnsi="Times New Roman" w:cs="Times New Roman"/>
        </w:rPr>
        <w:t xml:space="preserve"> </w:t>
      </w:r>
      <w:r w:rsidR="00367626" w:rsidRPr="007E5836">
        <w:rPr>
          <w:rFonts w:ascii="Times New Roman" w:hAnsi="Times New Roman" w:cs="Times New Roman"/>
        </w:rPr>
        <w:t xml:space="preserve">spreads. After collecting the information of each derivative contract, we collect volatility and </w:t>
      </w:r>
      <w:r w:rsidR="00367626">
        <w:rPr>
          <w:rFonts w:ascii="Times New Roman" w:hAnsi="Times New Roman" w:cs="Times New Roman"/>
        </w:rPr>
        <w:t xml:space="preserve">futures </w:t>
      </w:r>
      <w:r w:rsidR="00367626" w:rsidRPr="007E5836">
        <w:rPr>
          <w:rFonts w:ascii="Times New Roman" w:hAnsi="Times New Roman" w:cs="Times New Roman"/>
        </w:rPr>
        <w:t>prices for all types of oil</w:t>
      </w:r>
      <w:r w:rsidR="00C52B63">
        <w:rPr>
          <w:rFonts w:ascii="Times New Roman" w:hAnsi="Times New Roman" w:cs="Times New Roman"/>
        </w:rPr>
        <w:t xml:space="preserve"> and </w:t>
      </w:r>
      <w:r w:rsidR="00367626" w:rsidRPr="007E5836">
        <w:rPr>
          <w:rFonts w:ascii="Times New Roman" w:hAnsi="Times New Roman" w:cs="Times New Roman"/>
        </w:rPr>
        <w:t>gas commodities from Bloomberg. This information allows us to calculate delta for each of the derivative contracts. Deltas for futures, forwards, swaps, l</w:t>
      </w:r>
      <w:r w:rsidR="00BD0E05">
        <w:rPr>
          <w:rFonts w:ascii="Times New Roman" w:hAnsi="Times New Roman" w:cs="Times New Roman"/>
        </w:rPr>
        <w:t>oans and other such contracts are</w:t>
      </w:r>
      <w:r w:rsidR="00367626" w:rsidRPr="007E5836">
        <w:rPr>
          <w:rFonts w:ascii="Times New Roman" w:hAnsi="Times New Roman" w:cs="Times New Roman"/>
        </w:rPr>
        <w:t xml:space="preserve"> assumed to be 1. For the other commodities, we use the Black and Scholes delta to estimate the sensitivity of a contract to movement in oil</w:t>
      </w:r>
      <w:r w:rsidR="00C52B63">
        <w:rPr>
          <w:rFonts w:ascii="Times New Roman" w:hAnsi="Times New Roman" w:cs="Times New Roman"/>
        </w:rPr>
        <w:t xml:space="preserve"> and </w:t>
      </w:r>
      <w:r w:rsidR="00367626" w:rsidRPr="007E5836">
        <w:rPr>
          <w:rFonts w:ascii="Times New Roman" w:hAnsi="Times New Roman" w:cs="Times New Roman"/>
        </w:rPr>
        <w:t xml:space="preserve">gas prices. </w:t>
      </w:r>
    </w:p>
    <w:p w:rsidR="004537D9" w:rsidRDefault="004537D9" w:rsidP="004537D9">
      <w:pPr>
        <w:spacing w:after="0"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We use two measures of hedging in our analysis. First, as in </w:t>
      </w:r>
      <w:proofErr w:type="spellStart"/>
      <w:r w:rsidRPr="00CC69B3">
        <w:rPr>
          <w:rFonts w:ascii="Times New Roman" w:eastAsia="Times New Roman" w:hAnsi="Times New Roman" w:cs="Times New Roman"/>
        </w:rPr>
        <w:t>Tufano</w:t>
      </w:r>
      <w:proofErr w:type="spellEnd"/>
      <w:r w:rsidRPr="00CC69B3">
        <w:rPr>
          <w:rFonts w:ascii="Times New Roman" w:eastAsia="Times New Roman" w:hAnsi="Times New Roman" w:cs="Times New Roman"/>
        </w:rPr>
        <w:t xml:space="preserve"> (1996)</w:t>
      </w:r>
      <w:r w:rsidR="000971FD">
        <w:rPr>
          <w:rFonts w:ascii="Times New Roman" w:eastAsia="Times New Roman" w:hAnsi="Times New Roman" w:cs="Times New Roman"/>
        </w:rPr>
        <w:t xml:space="preserve">, </w:t>
      </w:r>
      <w:proofErr w:type="spellStart"/>
      <w:r w:rsidR="000971FD">
        <w:rPr>
          <w:rFonts w:ascii="Times New Roman" w:eastAsia="Times New Roman" w:hAnsi="Times New Roman" w:cs="Times New Roman"/>
        </w:rPr>
        <w:t>Haushalter</w:t>
      </w:r>
      <w:proofErr w:type="spellEnd"/>
      <w:r w:rsidR="000971FD">
        <w:rPr>
          <w:rFonts w:ascii="Times New Roman" w:eastAsia="Times New Roman" w:hAnsi="Times New Roman" w:cs="Times New Roman"/>
        </w:rPr>
        <w:t xml:space="preserve"> (2000)</w:t>
      </w:r>
      <w:r>
        <w:rPr>
          <w:rFonts w:ascii="Times New Roman" w:eastAsia="Times New Roman" w:hAnsi="Times New Roman" w:cs="Times New Roman"/>
        </w:rPr>
        <w:t xml:space="preserve"> and </w:t>
      </w:r>
      <w:r w:rsidR="000971FD">
        <w:rPr>
          <w:rFonts w:ascii="Times New Roman" w:eastAsia="Times New Roman" w:hAnsi="Times New Roman" w:cs="Times New Roman"/>
        </w:rPr>
        <w:t xml:space="preserve">Kumar and </w:t>
      </w:r>
      <w:proofErr w:type="spellStart"/>
      <w:r w:rsidR="000971FD">
        <w:rPr>
          <w:rFonts w:ascii="Times New Roman" w:eastAsia="Times New Roman" w:hAnsi="Times New Roman" w:cs="Times New Roman"/>
        </w:rPr>
        <w:t>Rabonovitch</w:t>
      </w:r>
      <w:proofErr w:type="spellEnd"/>
      <w:r w:rsidR="000971FD">
        <w:rPr>
          <w:rFonts w:ascii="Times New Roman" w:eastAsia="Times New Roman" w:hAnsi="Times New Roman" w:cs="Times New Roman"/>
        </w:rPr>
        <w:t xml:space="preserve"> </w:t>
      </w:r>
      <w:r>
        <w:rPr>
          <w:rFonts w:ascii="Times New Roman" w:eastAsia="Times New Roman" w:hAnsi="Times New Roman" w:cs="Times New Roman"/>
        </w:rPr>
        <w:t>(20</w:t>
      </w:r>
      <w:r w:rsidR="000971FD">
        <w:rPr>
          <w:rFonts w:ascii="Times New Roman" w:eastAsia="Times New Roman" w:hAnsi="Times New Roman" w:cs="Times New Roman"/>
        </w:rPr>
        <w:t>12</w:t>
      </w:r>
      <w:r>
        <w:rPr>
          <w:rFonts w:ascii="Times New Roman" w:eastAsia="Times New Roman" w:hAnsi="Times New Roman" w:cs="Times New Roman"/>
        </w:rPr>
        <w:t>)</w:t>
      </w:r>
      <w:r w:rsidRPr="00CC69B3">
        <w:rPr>
          <w:rFonts w:ascii="Times New Roman" w:eastAsia="Times New Roman" w:hAnsi="Times New Roman" w:cs="Times New Roman"/>
        </w:rPr>
        <w:t xml:space="preserve">, we measure the extent of derivatives usage by a hedge ratio for each firm </w:t>
      </w:r>
      <w:proofErr w:type="spellStart"/>
      <w:r w:rsidRPr="00CC69B3">
        <w:rPr>
          <w:rFonts w:ascii="Times New Roman" w:eastAsia="Times New Roman" w:hAnsi="Times New Roman" w:cs="Times New Roman"/>
          <w:i/>
        </w:rPr>
        <w:t>i</w:t>
      </w:r>
      <w:proofErr w:type="spellEnd"/>
      <w:r w:rsidRPr="00CC69B3">
        <w:rPr>
          <w:rFonts w:ascii="Times New Roman" w:eastAsia="Times New Roman" w:hAnsi="Times New Roman" w:cs="Times New Roman"/>
        </w:rPr>
        <w:t xml:space="preserve"> and time </w:t>
      </w:r>
      <w:r w:rsidRPr="00CC69B3">
        <w:rPr>
          <w:rFonts w:ascii="Times New Roman" w:eastAsia="Times New Roman" w:hAnsi="Times New Roman" w:cs="Times New Roman"/>
          <w:i/>
        </w:rPr>
        <w:t>t</w:t>
      </w:r>
      <w:r w:rsidRPr="00CC69B3">
        <w:rPr>
          <w:rFonts w:ascii="Times New Roman" w:eastAsia="Times New Roman" w:hAnsi="Times New Roman" w:cs="Times New Roman"/>
        </w:rPr>
        <w:t xml:space="preserve"> (</w:t>
      </w:r>
      <w:r w:rsidRPr="00CC69B3">
        <w:rPr>
          <w:rFonts w:ascii="Times New Roman" w:eastAsia="Times New Roman" w:hAnsi="Times New Roman" w:cs="Times New Roman"/>
          <w:position w:val="-12"/>
        </w:rPr>
        <w:object w:dxaOrig="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20.75pt" o:ole="">
            <v:imagedata r:id="rId14" o:title=""/>
          </v:shape>
          <o:OLEObject Type="Embed" ProgID="Equation.DSMT4" ShapeID="_x0000_i1025" DrawAspect="Content" ObjectID="_1423907474" r:id="rId15"/>
        </w:object>
      </w:r>
      <w:r w:rsidRPr="00CC69B3">
        <w:rPr>
          <w:rFonts w:ascii="Times New Roman" w:eastAsia="Times New Roman" w:hAnsi="Times New Roman" w:cs="Times New Roman"/>
        </w:rPr>
        <w:t>) that is defined as follows:</w:t>
      </w:r>
    </w:p>
    <w:p w:rsidR="004537D9" w:rsidRPr="00CC69B3" w:rsidRDefault="00BD0E05" w:rsidP="00BD0E05">
      <w:pPr>
        <w:spacing w:before="120" w:after="120" w:line="480" w:lineRule="auto"/>
        <w:ind w:firstLine="720"/>
        <w:jc w:val="both"/>
        <w:rPr>
          <w:rFonts w:ascii="Times New Roman" w:eastAsia="Times New Roman" w:hAnsi="Times New Roman" w:cs="Times New Roman"/>
        </w:rPr>
      </w:pPr>
      <m:oMathPara>
        <m:oMath>
          <m:r>
            <w:rPr>
              <w:rFonts w:ascii="Cambria Math" w:eastAsia="Times New Roman" w:hAnsi="Cambria Math" w:cs="Times New Roman"/>
            </w:rPr>
            <m:t xml:space="preserve">Total Hedge Ratio </m:t>
          </m:r>
          <m:d>
            <m:dPr>
              <m:ctrlPr>
                <w:rPr>
                  <w:rFonts w:ascii="Cambria Math" w:eastAsia="Times New Roman" w:hAnsi="Cambria Math" w:cs="Times New Roman"/>
                  <w:i/>
                </w:rPr>
              </m:ctrlPr>
            </m:dPr>
            <m:e>
              <m:r>
                <w:rPr>
                  <w:rFonts w:ascii="Cambria Math" w:eastAsia="Times New Roman" w:hAnsi="Cambria Math" w:cs="Times New Roman"/>
                </w:rPr>
                <m:t>Production</m:t>
              </m:r>
            </m:e>
          </m:d>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-Portfolio delta (derivative contracts)</m:t>
              </m:r>
            </m:num>
            <m:den>
              <m:r>
                <w:rPr>
                  <w:rFonts w:ascii="Cambria Math" w:eastAsia="Times New Roman" w:hAnsi="Cambria Math" w:cs="Times New Roman"/>
                </w:rPr>
                <m:t>Expected production (one year head)</m:t>
              </m:r>
            </m:den>
          </m:f>
        </m:oMath>
      </m:oMathPara>
    </w:p>
    <w:p w:rsidR="004537D9" w:rsidRPr="00CC69B3" w:rsidRDefault="004537D9" w:rsidP="00BD0E05">
      <w:pPr>
        <w:spacing w:after="0" w:line="480" w:lineRule="auto"/>
        <w:ind w:firstLine="720"/>
        <w:jc w:val="both"/>
        <w:rPr>
          <w:rFonts w:ascii="Times New Roman" w:eastAsia="Times New Roman" w:hAnsi="Times New Roman" w:cs="Times New Roman"/>
        </w:rPr>
      </w:pPr>
      <w:r w:rsidRPr="00CC69B3">
        <w:rPr>
          <w:rFonts w:ascii="Times New Roman" w:eastAsia="Times New Roman" w:hAnsi="Times New Roman" w:cs="Times New Roman"/>
        </w:rPr>
        <w:t xml:space="preserve">The portfolio delta is the amount of </w:t>
      </w:r>
      <w:r>
        <w:rPr>
          <w:rFonts w:ascii="Times New Roman" w:eastAsia="Times New Roman" w:hAnsi="Times New Roman" w:cs="Times New Roman"/>
        </w:rPr>
        <w:t>oil and/or gas</w:t>
      </w:r>
      <w:r w:rsidRPr="00CC69B3">
        <w:rPr>
          <w:rFonts w:ascii="Times New Roman" w:eastAsia="Times New Roman" w:hAnsi="Times New Roman" w:cs="Times New Roman"/>
        </w:rPr>
        <w:t xml:space="preserve"> that the firm has effectively sold short, computed as the sum of the deltas of all of a firm’s derivatives positions</w:t>
      </w:r>
      <w:r w:rsidR="005C7D37">
        <w:rPr>
          <w:rFonts w:ascii="Times New Roman" w:eastAsia="Times New Roman" w:hAnsi="Times New Roman" w:cs="Times New Roman"/>
        </w:rPr>
        <w:t xml:space="preserve"> in </w:t>
      </w:r>
      <w:r w:rsidR="005C7D37" w:rsidRPr="007E5836">
        <w:rPr>
          <w:rFonts w:ascii="Times New Roman" w:hAnsi="Times New Roman" w:cs="Times New Roman"/>
        </w:rPr>
        <w:t>barrels of oil equivalent</w:t>
      </w:r>
      <w:r w:rsidRPr="00CC69B3">
        <w:rPr>
          <w:rFonts w:ascii="Times New Roman" w:eastAsia="Times New Roman" w:hAnsi="Times New Roman" w:cs="Times New Roman"/>
        </w:rPr>
        <w:t xml:space="preserve">. </w:t>
      </w:r>
      <w:r w:rsidR="005C7D37">
        <w:rPr>
          <w:rFonts w:ascii="Times New Roman" w:eastAsia="Times New Roman" w:hAnsi="Times New Roman" w:cs="Times New Roman"/>
        </w:rPr>
        <w:lastRenderedPageBreak/>
        <w:t>E</w:t>
      </w:r>
      <w:r w:rsidRPr="00CC69B3">
        <w:rPr>
          <w:rFonts w:ascii="Times New Roman" w:eastAsia="Times New Roman" w:hAnsi="Times New Roman" w:cs="Times New Roman"/>
        </w:rPr>
        <w:t xml:space="preserve">xpected production is a firm’s expected </w:t>
      </w:r>
      <w:r w:rsidR="005C7D37">
        <w:rPr>
          <w:rFonts w:ascii="Times New Roman" w:eastAsia="Times New Roman" w:hAnsi="Times New Roman" w:cs="Times New Roman"/>
        </w:rPr>
        <w:t xml:space="preserve">oil and/or gas </w:t>
      </w:r>
      <w:r w:rsidRPr="00CC69B3">
        <w:rPr>
          <w:rFonts w:ascii="Times New Roman" w:eastAsia="Times New Roman" w:hAnsi="Times New Roman" w:cs="Times New Roman"/>
        </w:rPr>
        <w:t xml:space="preserve">production over the </w:t>
      </w:r>
      <w:r w:rsidR="005C7D37">
        <w:rPr>
          <w:rFonts w:ascii="Times New Roman" w:eastAsia="Times New Roman" w:hAnsi="Times New Roman" w:cs="Times New Roman"/>
        </w:rPr>
        <w:t xml:space="preserve">next </w:t>
      </w:r>
      <w:r w:rsidRPr="00CC69B3">
        <w:rPr>
          <w:rFonts w:ascii="Times New Roman" w:eastAsia="Times New Roman" w:hAnsi="Times New Roman" w:cs="Times New Roman"/>
        </w:rPr>
        <w:t>year</w:t>
      </w:r>
      <w:r w:rsidR="005C7D37">
        <w:rPr>
          <w:rFonts w:ascii="Times New Roman" w:eastAsia="Times New Roman" w:hAnsi="Times New Roman" w:cs="Times New Roman"/>
        </w:rPr>
        <w:t xml:space="preserve"> in </w:t>
      </w:r>
      <w:r w:rsidR="005C7D37" w:rsidRPr="007E5836">
        <w:rPr>
          <w:rFonts w:ascii="Times New Roman" w:hAnsi="Times New Roman" w:cs="Times New Roman"/>
        </w:rPr>
        <w:t>barrels of oil equivalent</w:t>
      </w:r>
      <w:r w:rsidR="005C7D37">
        <w:rPr>
          <w:rFonts w:ascii="Times New Roman" w:eastAsia="Times New Roman" w:hAnsi="Times New Roman" w:cs="Times New Roman"/>
        </w:rPr>
        <w:t xml:space="preserve">, which </w:t>
      </w:r>
      <w:r w:rsidR="00F41EEF">
        <w:rPr>
          <w:rFonts w:ascii="Times New Roman" w:eastAsia="Times New Roman" w:hAnsi="Times New Roman" w:cs="Times New Roman"/>
        </w:rPr>
        <w:t>we proxy</w:t>
      </w:r>
      <w:r w:rsidR="005C7D37">
        <w:rPr>
          <w:rFonts w:ascii="Times New Roman" w:eastAsia="Times New Roman" w:hAnsi="Times New Roman" w:cs="Times New Roman"/>
        </w:rPr>
        <w:t xml:space="preserve"> as in Jin and </w:t>
      </w:r>
      <w:proofErr w:type="spellStart"/>
      <w:r w:rsidR="005C7D37">
        <w:rPr>
          <w:rFonts w:ascii="Times New Roman" w:eastAsia="Times New Roman" w:hAnsi="Times New Roman" w:cs="Times New Roman"/>
        </w:rPr>
        <w:t>Jorion</w:t>
      </w:r>
      <w:proofErr w:type="spellEnd"/>
      <w:r w:rsidR="005C7D37">
        <w:rPr>
          <w:rFonts w:ascii="Times New Roman" w:eastAsia="Times New Roman" w:hAnsi="Times New Roman" w:cs="Times New Roman"/>
        </w:rPr>
        <w:t xml:space="preserve"> (2006) </w:t>
      </w:r>
      <w:r w:rsidR="00F41EEF">
        <w:rPr>
          <w:rFonts w:ascii="Times New Roman" w:eastAsia="Times New Roman" w:hAnsi="Times New Roman" w:cs="Times New Roman"/>
        </w:rPr>
        <w:t xml:space="preserve">with </w:t>
      </w:r>
      <w:r w:rsidR="005C7D37">
        <w:rPr>
          <w:rFonts w:ascii="Times New Roman" w:eastAsia="Times New Roman" w:hAnsi="Times New Roman" w:cs="Times New Roman"/>
        </w:rPr>
        <w:t>actual production figures reported in the 10-K disclosures since production estimates are not available</w:t>
      </w:r>
      <w:r w:rsidRPr="00CC69B3">
        <w:rPr>
          <w:rFonts w:ascii="Times New Roman" w:eastAsia="Times New Roman" w:hAnsi="Times New Roman" w:cs="Times New Roman"/>
        </w:rPr>
        <w:t>. Thus, this hedge ratio represents the fraction</w:t>
      </w:r>
      <w:r w:rsidR="005C7D37">
        <w:rPr>
          <w:rFonts w:ascii="Times New Roman" w:eastAsia="Times New Roman" w:hAnsi="Times New Roman" w:cs="Times New Roman"/>
        </w:rPr>
        <w:t xml:space="preserve"> of a firm’s oil</w:t>
      </w:r>
      <w:r w:rsidR="00C52B63">
        <w:rPr>
          <w:rFonts w:ascii="Times New Roman" w:eastAsia="Times New Roman" w:hAnsi="Times New Roman" w:cs="Times New Roman"/>
        </w:rPr>
        <w:t xml:space="preserve"> and </w:t>
      </w:r>
      <w:r w:rsidR="005C7D37">
        <w:rPr>
          <w:rFonts w:ascii="Times New Roman" w:eastAsia="Times New Roman" w:hAnsi="Times New Roman" w:cs="Times New Roman"/>
        </w:rPr>
        <w:t xml:space="preserve">gas </w:t>
      </w:r>
      <w:r w:rsidRPr="00CC69B3">
        <w:rPr>
          <w:rFonts w:ascii="Times New Roman" w:eastAsia="Times New Roman" w:hAnsi="Times New Roman" w:cs="Times New Roman"/>
        </w:rPr>
        <w:t xml:space="preserve">production </w:t>
      </w:r>
      <w:r w:rsidR="005C7D37">
        <w:rPr>
          <w:rFonts w:ascii="Times New Roman" w:eastAsia="Times New Roman" w:hAnsi="Times New Roman" w:cs="Times New Roman"/>
        </w:rPr>
        <w:t xml:space="preserve">that is </w:t>
      </w:r>
      <w:r w:rsidRPr="00CC69B3">
        <w:rPr>
          <w:rFonts w:ascii="Times New Roman" w:eastAsia="Times New Roman" w:hAnsi="Times New Roman" w:cs="Times New Roman"/>
        </w:rPr>
        <w:t>be</w:t>
      </w:r>
      <w:r w:rsidR="005C7D37">
        <w:rPr>
          <w:rFonts w:ascii="Times New Roman" w:eastAsia="Times New Roman" w:hAnsi="Times New Roman" w:cs="Times New Roman"/>
        </w:rPr>
        <w:t>i</w:t>
      </w:r>
      <w:r w:rsidRPr="00CC69B3">
        <w:rPr>
          <w:rFonts w:ascii="Times New Roman" w:eastAsia="Times New Roman" w:hAnsi="Times New Roman" w:cs="Times New Roman"/>
        </w:rPr>
        <w:t>n</w:t>
      </w:r>
      <w:r w:rsidR="005C7D37">
        <w:rPr>
          <w:rFonts w:ascii="Times New Roman" w:eastAsia="Times New Roman" w:hAnsi="Times New Roman" w:cs="Times New Roman"/>
        </w:rPr>
        <w:t>g</w:t>
      </w:r>
      <w:r w:rsidRPr="00CC69B3">
        <w:rPr>
          <w:rFonts w:ascii="Times New Roman" w:eastAsia="Times New Roman" w:hAnsi="Times New Roman" w:cs="Times New Roman"/>
        </w:rPr>
        <w:t xml:space="preserve"> hedged.</w:t>
      </w:r>
    </w:p>
    <w:p w:rsidR="004537D9" w:rsidRPr="00CC69B3" w:rsidRDefault="004537D9" w:rsidP="00034653">
      <w:pPr>
        <w:spacing w:after="120" w:line="480" w:lineRule="auto"/>
        <w:ind w:firstLine="720"/>
        <w:jc w:val="both"/>
        <w:rPr>
          <w:rFonts w:ascii="Times New Roman" w:eastAsia="Times New Roman" w:hAnsi="Times New Roman" w:cs="Times New Roman"/>
        </w:rPr>
      </w:pPr>
      <w:r w:rsidRPr="00CC69B3">
        <w:rPr>
          <w:rFonts w:ascii="Times New Roman" w:eastAsia="Times New Roman" w:hAnsi="Times New Roman" w:cs="Times New Roman"/>
        </w:rPr>
        <w:t xml:space="preserve">Since some </w:t>
      </w:r>
      <w:r w:rsidR="005C7D37">
        <w:rPr>
          <w:rFonts w:ascii="Times New Roman" w:eastAsia="Times New Roman" w:hAnsi="Times New Roman" w:cs="Times New Roman"/>
        </w:rPr>
        <w:t xml:space="preserve">measurement error may enter the computation of this </w:t>
      </w:r>
      <w:r w:rsidRPr="00CC69B3">
        <w:rPr>
          <w:rFonts w:ascii="Times New Roman" w:eastAsia="Times New Roman" w:hAnsi="Times New Roman" w:cs="Times New Roman"/>
        </w:rPr>
        <w:t xml:space="preserve">hedge ratio </w:t>
      </w:r>
      <w:r w:rsidR="005C7D37">
        <w:rPr>
          <w:rFonts w:ascii="Times New Roman" w:eastAsia="Times New Roman" w:hAnsi="Times New Roman" w:cs="Times New Roman"/>
        </w:rPr>
        <w:t>due to deviations between actual production and the amount of oil</w:t>
      </w:r>
      <w:r w:rsidR="006A59B2">
        <w:rPr>
          <w:rFonts w:ascii="Times New Roman" w:eastAsia="Times New Roman" w:hAnsi="Times New Roman" w:cs="Times New Roman"/>
        </w:rPr>
        <w:t xml:space="preserve"> and </w:t>
      </w:r>
      <w:r w:rsidR="005C7D37">
        <w:rPr>
          <w:rFonts w:ascii="Times New Roman" w:eastAsia="Times New Roman" w:hAnsi="Times New Roman" w:cs="Times New Roman"/>
        </w:rPr>
        <w:t>gas the firm expected to pr</w:t>
      </w:r>
      <w:r w:rsidR="00BD0E05">
        <w:rPr>
          <w:rFonts w:ascii="Times New Roman" w:eastAsia="Times New Roman" w:hAnsi="Times New Roman" w:cs="Times New Roman"/>
        </w:rPr>
        <w:t xml:space="preserve">oduce at the time it placed the </w:t>
      </w:r>
      <w:r w:rsidR="005C7D37">
        <w:rPr>
          <w:rFonts w:ascii="Times New Roman" w:eastAsia="Times New Roman" w:hAnsi="Times New Roman" w:cs="Times New Roman"/>
        </w:rPr>
        <w:t>hedge</w:t>
      </w:r>
      <w:r w:rsidRPr="00CC69B3">
        <w:rPr>
          <w:rFonts w:ascii="Times New Roman" w:eastAsia="Times New Roman" w:hAnsi="Times New Roman" w:cs="Times New Roman"/>
        </w:rPr>
        <w:t xml:space="preserve">, we also calculate a </w:t>
      </w:r>
      <w:r w:rsidR="005C7D37">
        <w:rPr>
          <w:rFonts w:ascii="Times New Roman" w:eastAsia="Times New Roman" w:hAnsi="Times New Roman" w:cs="Times New Roman"/>
        </w:rPr>
        <w:t xml:space="preserve">second </w:t>
      </w:r>
      <w:r w:rsidRPr="00CC69B3">
        <w:rPr>
          <w:rFonts w:ascii="Times New Roman" w:eastAsia="Times New Roman" w:hAnsi="Times New Roman" w:cs="Times New Roman"/>
        </w:rPr>
        <w:t xml:space="preserve">hedge ratio that reflects the fraction of a firm’s total </w:t>
      </w:r>
      <w:r w:rsidR="00BD0E05">
        <w:rPr>
          <w:rFonts w:ascii="Times New Roman" w:eastAsia="Times New Roman" w:hAnsi="Times New Roman" w:cs="Times New Roman"/>
        </w:rPr>
        <w:t>oil and</w:t>
      </w:r>
      <w:r w:rsidR="00C52B63">
        <w:rPr>
          <w:rFonts w:ascii="Times New Roman" w:eastAsia="Times New Roman" w:hAnsi="Times New Roman" w:cs="Times New Roman"/>
        </w:rPr>
        <w:t xml:space="preserve"> </w:t>
      </w:r>
      <w:r w:rsidR="00BD0E05">
        <w:rPr>
          <w:rFonts w:ascii="Times New Roman" w:eastAsia="Times New Roman" w:hAnsi="Times New Roman" w:cs="Times New Roman"/>
        </w:rPr>
        <w:t xml:space="preserve">gas </w:t>
      </w:r>
      <w:r w:rsidR="00BD0E05" w:rsidRPr="00CC69B3">
        <w:rPr>
          <w:rFonts w:ascii="Times New Roman" w:eastAsia="Times New Roman" w:hAnsi="Times New Roman" w:cs="Times New Roman"/>
        </w:rPr>
        <w:t xml:space="preserve">reserves that has been hedged, as in Jin and </w:t>
      </w:r>
      <w:proofErr w:type="spellStart"/>
      <w:r w:rsidR="00BD0E05" w:rsidRPr="00CC69B3">
        <w:rPr>
          <w:rFonts w:ascii="Times New Roman" w:eastAsia="Times New Roman" w:hAnsi="Times New Roman" w:cs="Times New Roman"/>
        </w:rPr>
        <w:t>Jorion</w:t>
      </w:r>
      <w:proofErr w:type="spellEnd"/>
      <w:r w:rsidR="00BD0E05" w:rsidRPr="00CC69B3">
        <w:rPr>
          <w:rFonts w:ascii="Times New Roman" w:eastAsia="Times New Roman" w:hAnsi="Times New Roman" w:cs="Times New Roman"/>
        </w:rPr>
        <w:t xml:space="preserve"> (2006). This ratio (</w:t>
      </w:r>
      <w:r w:rsidR="00BD0E05" w:rsidRPr="00CC69B3">
        <w:rPr>
          <w:rFonts w:ascii="Times New Roman" w:eastAsia="Times New Roman" w:hAnsi="Times New Roman" w:cs="Times New Roman"/>
          <w:position w:val="-12"/>
        </w:rPr>
        <w:object w:dxaOrig="279" w:dyaOrig="400">
          <v:shape id="_x0000_i1026" type="#_x0000_t75" style="width:14.25pt;height:20.75pt" o:ole="">
            <v:imagedata r:id="rId16" o:title=""/>
          </v:shape>
          <o:OLEObject Type="Embed" ProgID="Equation.DSMT4" ShapeID="_x0000_i1026" DrawAspect="Content" ObjectID="_1423907475" r:id="rId17"/>
        </w:object>
      </w:r>
      <w:r w:rsidR="00BD0E05" w:rsidRPr="00CC69B3">
        <w:rPr>
          <w:rFonts w:ascii="Times New Roman" w:eastAsia="Times New Roman" w:hAnsi="Times New Roman" w:cs="Times New Roman"/>
        </w:rPr>
        <w:t>)</w:t>
      </w:r>
      <w:r w:rsidR="00BD0E05" w:rsidRPr="00CC69B3">
        <w:rPr>
          <w:rFonts w:ascii="Times New Roman" w:eastAsia="Times New Roman" w:hAnsi="Times New Roman" w:cs="Times New Roman"/>
          <w:position w:val="-12"/>
        </w:rPr>
        <w:t xml:space="preserve"> </w:t>
      </w:r>
      <w:r w:rsidR="00BD0E05" w:rsidRPr="00CC69B3">
        <w:rPr>
          <w:rFonts w:ascii="Times New Roman" w:eastAsia="Times New Roman" w:hAnsi="Times New Roman" w:cs="Times New Roman"/>
        </w:rPr>
        <w:t>is defined as follows:</w:t>
      </w:r>
      <w:r>
        <w:rPr>
          <w:rFonts w:ascii="Cambria Math" w:eastAsia="Times New Roman" w:hAnsi="Cambria Math" w:cs="Times New Roman"/>
        </w:rPr>
        <w:br/>
      </w:r>
      <m:oMathPara>
        <m:oMath>
          <m:r>
            <w:rPr>
              <w:rFonts w:ascii="Cambria Math" w:eastAsia="Times New Roman" w:hAnsi="Cambria Math" w:cs="Times New Roman"/>
            </w:rPr>
            <m:t xml:space="preserve">Total Hedge Ratio </m:t>
          </m:r>
          <m:d>
            <m:dPr>
              <m:ctrlPr>
                <w:rPr>
                  <w:rFonts w:ascii="Cambria Math" w:eastAsia="Times New Roman" w:hAnsi="Cambria Math" w:cs="Times New Roman"/>
                  <w:i/>
                </w:rPr>
              </m:ctrlPr>
            </m:dPr>
            <m:e>
              <m:r>
                <w:rPr>
                  <w:rFonts w:ascii="Cambria Math" w:eastAsia="Times New Roman" w:hAnsi="Cambria Math" w:cs="Times New Roman"/>
                </w:rPr>
                <m:t>Reserves</m:t>
              </m:r>
            </m:e>
          </m:d>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-Portfolio delta (derivative contracts)</m:t>
              </m:r>
            </m:num>
            <m:den>
              <m:r>
                <w:rPr>
                  <w:rFonts w:ascii="Cambria Math" w:eastAsia="Times New Roman" w:hAnsi="Cambria Math" w:cs="Times New Roman"/>
                </w:rPr>
                <m:t>Reserves</m:t>
              </m:r>
            </m:den>
          </m:f>
        </m:oMath>
      </m:oMathPara>
    </w:p>
    <w:p w:rsidR="004537D9" w:rsidRPr="00CC69B3" w:rsidRDefault="00677D21" w:rsidP="007C4E77">
      <w:pPr>
        <w:autoSpaceDE w:val="0"/>
        <w:autoSpaceDN w:val="0"/>
        <w:spacing w:after="120" w:line="480" w:lineRule="auto"/>
        <w:jc w:val="both"/>
        <w:rPr>
          <w:rFonts w:ascii="Times New Roman" w:eastAsia="PMingLiU" w:hAnsi="Times New Roman" w:cs="Times New Roman"/>
        </w:rPr>
      </w:pPr>
      <w:r>
        <w:rPr>
          <w:rFonts w:ascii="Times New Roman" w:eastAsia="PMingLiU" w:hAnsi="Times New Roman" w:cs="Times New Roman"/>
        </w:rPr>
        <w:t>Fiscal year-end o</w:t>
      </w:r>
      <w:r w:rsidR="005C7D37">
        <w:rPr>
          <w:rFonts w:ascii="Times New Roman" w:eastAsia="PMingLiU" w:hAnsi="Times New Roman" w:cs="Times New Roman"/>
        </w:rPr>
        <w:t xml:space="preserve">il and gas </w:t>
      </w:r>
      <w:r w:rsidR="004537D9" w:rsidRPr="00CC69B3">
        <w:rPr>
          <w:rFonts w:ascii="Times New Roman" w:eastAsia="PMingLiU" w:hAnsi="Times New Roman" w:cs="Times New Roman"/>
        </w:rPr>
        <w:t>reserve</w:t>
      </w:r>
      <w:r w:rsidR="005C7D37">
        <w:rPr>
          <w:rFonts w:ascii="Times New Roman" w:eastAsia="PMingLiU" w:hAnsi="Times New Roman" w:cs="Times New Roman"/>
        </w:rPr>
        <w:t xml:space="preserve"> estimates</w:t>
      </w:r>
      <w:r w:rsidR="004537D9" w:rsidRPr="00CC69B3">
        <w:rPr>
          <w:rFonts w:ascii="Times New Roman" w:eastAsia="PMingLiU" w:hAnsi="Times New Roman" w:cs="Times New Roman"/>
        </w:rPr>
        <w:t xml:space="preserve"> </w:t>
      </w:r>
      <w:r>
        <w:rPr>
          <w:rFonts w:ascii="Times New Roman" w:eastAsia="Times New Roman" w:hAnsi="Times New Roman" w:cs="Times New Roman"/>
        </w:rPr>
        <w:t xml:space="preserve">in </w:t>
      </w:r>
      <w:r w:rsidRPr="007E5836">
        <w:rPr>
          <w:rFonts w:ascii="Times New Roman" w:hAnsi="Times New Roman" w:cs="Times New Roman"/>
        </w:rPr>
        <w:t>barrels of oil equivalent</w:t>
      </w:r>
      <w:r w:rsidRPr="00CC69B3">
        <w:rPr>
          <w:rFonts w:ascii="Times New Roman" w:eastAsia="PMingLiU" w:hAnsi="Times New Roman" w:cs="Times New Roman"/>
        </w:rPr>
        <w:t xml:space="preserve"> </w:t>
      </w:r>
      <w:r w:rsidR="00BD0E05">
        <w:rPr>
          <w:rFonts w:ascii="Times New Roman" w:eastAsia="PMingLiU" w:hAnsi="Times New Roman" w:cs="Times New Roman"/>
        </w:rPr>
        <w:t>are hand collected</w:t>
      </w:r>
      <w:r w:rsidR="004537D9" w:rsidRPr="00CC69B3">
        <w:rPr>
          <w:rFonts w:ascii="Times New Roman" w:eastAsia="PMingLiU" w:hAnsi="Times New Roman" w:cs="Times New Roman"/>
        </w:rPr>
        <w:t xml:space="preserve"> from </w:t>
      </w:r>
      <w:r w:rsidR="00BD0E05">
        <w:rPr>
          <w:rFonts w:ascii="Times New Roman" w:eastAsia="PMingLiU" w:hAnsi="Times New Roman" w:cs="Times New Roman"/>
        </w:rPr>
        <w:t xml:space="preserve">the </w:t>
      </w:r>
      <w:r w:rsidR="004537D9" w:rsidRPr="00CC69B3">
        <w:rPr>
          <w:rFonts w:ascii="Times New Roman" w:eastAsia="PMingLiU" w:hAnsi="Times New Roman" w:cs="Times New Roman"/>
        </w:rPr>
        <w:t>firms’ financial statements.</w:t>
      </w:r>
      <w:r w:rsidR="005C7D37">
        <w:rPr>
          <w:rFonts w:ascii="Times New Roman" w:eastAsia="PMingLiU" w:hAnsi="Times New Roman" w:cs="Times New Roman"/>
        </w:rPr>
        <w:t xml:space="preserve"> </w:t>
      </w:r>
      <w:r w:rsidR="005C7D37" w:rsidRPr="00CC69B3">
        <w:rPr>
          <w:rFonts w:ascii="Times New Roman" w:eastAsia="Times New Roman" w:hAnsi="Times New Roman" w:cs="Times New Roman"/>
        </w:rPr>
        <w:t>Thus, this hedge ratio represents the fraction</w:t>
      </w:r>
      <w:r w:rsidR="005C7D37">
        <w:rPr>
          <w:rFonts w:ascii="Times New Roman" w:eastAsia="Times New Roman" w:hAnsi="Times New Roman" w:cs="Times New Roman"/>
        </w:rPr>
        <w:t xml:space="preserve"> of a firm’s oil</w:t>
      </w:r>
      <w:r w:rsidR="00C52B63">
        <w:rPr>
          <w:rFonts w:ascii="Times New Roman" w:eastAsia="Times New Roman" w:hAnsi="Times New Roman" w:cs="Times New Roman"/>
        </w:rPr>
        <w:t xml:space="preserve"> and </w:t>
      </w:r>
      <w:r w:rsidR="005C7D37">
        <w:rPr>
          <w:rFonts w:ascii="Times New Roman" w:eastAsia="Times New Roman" w:hAnsi="Times New Roman" w:cs="Times New Roman"/>
        </w:rPr>
        <w:t xml:space="preserve">gas reserves </w:t>
      </w:r>
      <w:r w:rsidR="005C7D37" w:rsidRPr="00CC69B3">
        <w:rPr>
          <w:rFonts w:ascii="Times New Roman" w:eastAsia="Times New Roman" w:hAnsi="Times New Roman" w:cs="Times New Roman"/>
        </w:rPr>
        <w:t xml:space="preserve">that </w:t>
      </w:r>
      <w:r w:rsidR="005C7D37">
        <w:rPr>
          <w:rFonts w:ascii="Times New Roman" w:eastAsia="Times New Roman" w:hAnsi="Times New Roman" w:cs="Times New Roman"/>
        </w:rPr>
        <w:t>is bei</w:t>
      </w:r>
      <w:r w:rsidR="005C7D37" w:rsidRPr="00CC69B3">
        <w:rPr>
          <w:rFonts w:ascii="Times New Roman" w:eastAsia="Times New Roman" w:hAnsi="Times New Roman" w:cs="Times New Roman"/>
        </w:rPr>
        <w:t>n</w:t>
      </w:r>
      <w:r w:rsidR="005C7D37">
        <w:rPr>
          <w:rFonts w:ascii="Times New Roman" w:eastAsia="Times New Roman" w:hAnsi="Times New Roman" w:cs="Times New Roman"/>
        </w:rPr>
        <w:t>g</w:t>
      </w:r>
      <w:r w:rsidR="005C7D37" w:rsidRPr="00CC69B3">
        <w:rPr>
          <w:rFonts w:ascii="Times New Roman" w:eastAsia="Times New Roman" w:hAnsi="Times New Roman" w:cs="Times New Roman"/>
        </w:rPr>
        <w:t xml:space="preserve"> hedged</w:t>
      </w:r>
      <w:r w:rsidR="005E6D11">
        <w:rPr>
          <w:rFonts w:ascii="Times New Roman" w:eastAsia="Times New Roman" w:hAnsi="Times New Roman" w:cs="Times New Roman"/>
        </w:rPr>
        <w:t>.</w:t>
      </w:r>
      <w:r w:rsidR="005D2A35">
        <w:rPr>
          <w:rStyle w:val="FootnoteReference"/>
          <w:rFonts w:ascii="Times New Roman" w:eastAsia="Times New Roman" w:hAnsi="Times New Roman" w:cs="Times New Roman"/>
        </w:rPr>
        <w:footnoteReference w:id="15"/>
      </w:r>
      <w:r w:rsidR="005D2A35">
        <w:rPr>
          <w:rFonts w:ascii="Times New Roman" w:eastAsia="Times New Roman" w:hAnsi="Times New Roman" w:cs="Times New Roman"/>
        </w:rPr>
        <w:t xml:space="preserve"> </w:t>
      </w:r>
    </w:p>
    <w:p w:rsidR="006D73D4" w:rsidRDefault="00F564EC" w:rsidP="00034653">
      <w:pPr>
        <w:autoSpaceDE w:val="0"/>
        <w:autoSpaceDN w:val="0"/>
        <w:adjustRightInd w:val="0"/>
        <w:spacing w:after="120" w:line="480" w:lineRule="auto"/>
        <w:ind w:firstLine="720"/>
        <w:jc w:val="both"/>
        <w:rPr>
          <w:rFonts w:ascii="Times New Roman" w:eastAsia="Times New Roman" w:hAnsi="Times New Roman" w:cs="Times New Roman"/>
        </w:rPr>
      </w:pPr>
      <w:r>
        <w:rPr>
          <w:rFonts w:ascii="Times New Roman" w:eastAsia="Times New Roman" w:hAnsi="Times New Roman" w:cs="Times New Roman"/>
        </w:rPr>
        <w:t>C</w:t>
      </w:r>
      <w:r w:rsidR="00CC69B3" w:rsidRPr="00CC69B3">
        <w:rPr>
          <w:rFonts w:ascii="Times New Roman" w:eastAsia="Times New Roman" w:hAnsi="Times New Roman" w:cs="Times New Roman"/>
        </w:rPr>
        <w:t xml:space="preserve">ompensation data </w:t>
      </w:r>
      <w:r>
        <w:rPr>
          <w:rFonts w:ascii="Times New Roman" w:eastAsia="Times New Roman" w:hAnsi="Times New Roman" w:cs="Times New Roman"/>
        </w:rPr>
        <w:t>is primarily from</w:t>
      </w:r>
      <w:r w:rsidR="00CC69B3" w:rsidRPr="00CC69B3">
        <w:rPr>
          <w:rFonts w:ascii="Times New Roman" w:eastAsia="Times New Roman" w:hAnsi="Times New Roman" w:cs="Times New Roman"/>
        </w:rPr>
        <w:t xml:space="preserve"> </w:t>
      </w:r>
      <w:proofErr w:type="spellStart"/>
      <w:r w:rsidR="00CC69B3" w:rsidRPr="00CC69B3">
        <w:rPr>
          <w:rFonts w:ascii="Times New Roman" w:eastAsia="Times New Roman" w:hAnsi="Times New Roman" w:cs="Times New Roman"/>
        </w:rPr>
        <w:t>ExecuComp</w:t>
      </w:r>
      <w:proofErr w:type="spellEnd"/>
      <w:r>
        <w:rPr>
          <w:rFonts w:ascii="Times New Roman" w:eastAsia="Times New Roman" w:hAnsi="Times New Roman" w:cs="Times New Roman"/>
        </w:rPr>
        <w:t xml:space="preserve">; if the firm is not covered by </w:t>
      </w:r>
      <w:proofErr w:type="spellStart"/>
      <w:r>
        <w:rPr>
          <w:rFonts w:ascii="Times New Roman" w:eastAsia="Times New Roman" w:hAnsi="Times New Roman" w:cs="Times New Roman"/>
        </w:rPr>
        <w:t>ExecuComp</w:t>
      </w:r>
      <w:proofErr w:type="spellEnd"/>
      <w:r>
        <w:rPr>
          <w:rFonts w:ascii="Times New Roman" w:eastAsia="Times New Roman" w:hAnsi="Times New Roman" w:cs="Times New Roman"/>
        </w:rPr>
        <w:t xml:space="preserve"> we hand collect the data from the </w:t>
      </w:r>
      <w:r w:rsidR="007619CE">
        <w:rPr>
          <w:rFonts w:ascii="Times New Roman" w:eastAsia="Times New Roman" w:hAnsi="Times New Roman" w:cs="Times New Roman"/>
        </w:rPr>
        <w:t xml:space="preserve">firm’s </w:t>
      </w:r>
      <w:r>
        <w:rPr>
          <w:rFonts w:ascii="Times New Roman" w:eastAsia="Times New Roman" w:hAnsi="Times New Roman" w:cs="Times New Roman"/>
        </w:rPr>
        <w:t>proxy statements. We collect the</w:t>
      </w:r>
      <w:r w:rsidR="00CC69B3" w:rsidRPr="00CC69B3">
        <w:rPr>
          <w:rFonts w:ascii="Times New Roman" w:eastAsia="Times New Roman" w:hAnsi="Times New Roman" w:cs="Times New Roman"/>
        </w:rPr>
        <w:t xml:space="preserve"> stock and option holdings for</w:t>
      </w:r>
      <w:r>
        <w:rPr>
          <w:rFonts w:ascii="Times New Roman" w:eastAsia="Times New Roman" w:hAnsi="Times New Roman" w:cs="Times New Roman"/>
        </w:rPr>
        <w:t xml:space="preserve"> CEOs and use this to</w:t>
      </w:r>
      <w:r w:rsidR="00CC69B3" w:rsidRPr="00CC69B3">
        <w:rPr>
          <w:rFonts w:ascii="Times New Roman" w:eastAsia="Times New Roman" w:hAnsi="Times New Roman" w:cs="Times New Roman"/>
        </w:rPr>
        <w:t xml:space="preserve"> estimate the sensitivities of stock and option holdings to changes in stock price level (delta) and volatility (</w:t>
      </w:r>
      <w:proofErr w:type="spellStart"/>
      <w:proofErr w:type="gramStart"/>
      <w:r w:rsidR="00CC69B3" w:rsidRPr="00CC69B3">
        <w:rPr>
          <w:rFonts w:ascii="Times New Roman" w:eastAsia="Times New Roman" w:hAnsi="Times New Roman" w:cs="Times New Roman"/>
        </w:rPr>
        <w:t>vega</w:t>
      </w:r>
      <w:proofErr w:type="spellEnd"/>
      <w:proofErr w:type="gramEnd"/>
      <w:r w:rsidR="00CC69B3" w:rsidRPr="00CC69B3">
        <w:rPr>
          <w:rFonts w:ascii="Times New Roman" w:eastAsia="Times New Roman" w:hAnsi="Times New Roman" w:cs="Times New Roman"/>
        </w:rPr>
        <w:t xml:space="preserve">) following the methodology of Core and </w:t>
      </w:r>
      <w:proofErr w:type="spellStart"/>
      <w:r w:rsidR="00CC69B3" w:rsidRPr="00CC69B3">
        <w:rPr>
          <w:rFonts w:ascii="Times New Roman" w:eastAsia="Times New Roman" w:hAnsi="Times New Roman" w:cs="Times New Roman"/>
        </w:rPr>
        <w:t>Guay</w:t>
      </w:r>
      <w:proofErr w:type="spellEnd"/>
      <w:r w:rsidR="00CC69B3" w:rsidRPr="00CC69B3">
        <w:rPr>
          <w:rFonts w:ascii="Times New Roman" w:eastAsia="Times New Roman" w:hAnsi="Times New Roman" w:cs="Times New Roman"/>
        </w:rPr>
        <w:t xml:space="preserve"> (2002). We use the end of year stock price from </w:t>
      </w:r>
      <w:proofErr w:type="spellStart"/>
      <w:r w:rsidR="00CC69B3" w:rsidRPr="00CC69B3">
        <w:rPr>
          <w:rFonts w:ascii="Times New Roman" w:eastAsia="Times New Roman" w:hAnsi="Times New Roman" w:cs="Times New Roman"/>
        </w:rPr>
        <w:t>Compustat</w:t>
      </w:r>
      <w:proofErr w:type="spellEnd"/>
      <w:r w:rsidR="00CC69B3" w:rsidRPr="00CC69B3">
        <w:rPr>
          <w:rFonts w:ascii="Times New Roman" w:eastAsia="Times New Roman" w:hAnsi="Times New Roman" w:cs="Times New Roman"/>
        </w:rPr>
        <w:t xml:space="preserve"> as the underlying stock price in the Black-</w:t>
      </w:r>
      <w:r w:rsidR="007619CE">
        <w:rPr>
          <w:rFonts w:ascii="Times New Roman" w:eastAsia="Times New Roman" w:hAnsi="Times New Roman" w:cs="Times New Roman"/>
        </w:rPr>
        <w:t>Scholes options pricing formula</w:t>
      </w:r>
      <w:r w:rsidR="00CC69B3" w:rsidRPr="00CC69B3">
        <w:rPr>
          <w:rFonts w:ascii="Times New Roman" w:eastAsia="Times New Roman" w:hAnsi="Times New Roman" w:cs="Times New Roman"/>
        </w:rPr>
        <w:t xml:space="preserve">. The risk-free </w:t>
      </w:r>
      <w:r w:rsidR="00CC69B3" w:rsidRPr="007C4E77">
        <w:rPr>
          <w:rFonts w:ascii="Times New Roman" w:eastAsia="Times New Roman" w:hAnsi="Times New Roman" w:cs="Times New Roman"/>
        </w:rPr>
        <w:t xml:space="preserve">interest rate is the yield on the Treasury bond whose maturity is closest to the maturity of the stock option. </w:t>
      </w:r>
      <w:r w:rsidR="00EA5689">
        <w:rPr>
          <w:rFonts w:ascii="Times New Roman" w:eastAsia="Times New Roman" w:hAnsi="Times New Roman" w:cs="Times New Roman"/>
        </w:rPr>
        <w:t xml:space="preserve"> </w:t>
      </w:r>
      <w:r w:rsidR="00CC69B3" w:rsidRPr="007C4E77">
        <w:rPr>
          <w:rFonts w:ascii="Times New Roman" w:eastAsia="Times New Roman" w:hAnsi="Times New Roman" w:cs="Times New Roman"/>
        </w:rPr>
        <w:t xml:space="preserve">We compute stock return volatility from weekly adjusted stock returns obtained from CRSP and </w:t>
      </w:r>
      <w:proofErr w:type="spellStart"/>
      <w:r w:rsidR="00CC69B3" w:rsidRPr="007C4E77">
        <w:rPr>
          <w:rFonts w:ascii="Times New Roman" w:eastAsia="Times New Roman" w:hAnsi="Times New Roman" w:cs="Times New Roman"/>
        </w:rPr>
        <w:t>Datastream</w:t>
      </w:r>
      <w:proofErr w:type="spellEnd"/>
      <w:r w:rsidR="00CC69B3" w:rsidRPr="007C4E77">
        <w:rPr>
          <w:rFonts w:ascii="Times New Roman" w:eastAsia="Times New Roman" w:hAnsi="Times New Roman" w:cs="Times New Roman"/>
        </w:rPr>
        <w:t>.</w:t>
      </w:r>
      <w:r w:rsidR="00CC69B3" w:rsidRPr="00CC69B3">
        <w:rPr>
          <w:rFonts w:ascii="Times New Roman" w:eastAsia="Times New Roman" w:hAnsi="Times New Roman" w:cs="Times New Roman"/>
        </w:rPr>
        <w:t xml:space="preserve"> We calculate the delta of each executive’s compensation as the sum of the deltas of all outstanding options plus the delta of the executive’s shareholdings. We calculate the </w:t>
      </w:r>
      <w:proofErr w:type="spellStart"/>
      <w:proofErr w:type="gramStart"/>
      <w:r w:rsidR="00CC69B3" w:rsidRPr="00CC69B3">
        <w:rPr>
          <w:rFonts w:ascii="Times New Roman" w:eastAsia="Times New Roman" w:hAnsi="Times New Roman" w:cs="Times New Roman"/>
        </w:rPr>
        <w:t>vega</w:t>
      </w:r>
      <w:proofErr w:type="spellEnd"/>
      <w:proofErr w:type="gramEnd"/>
      <w:r w:rsidR="00CC69B3" w:rsidRPr="00CC69B3">
        <w:rPr>
          <w:rFonts w:ascii="Times New Roman" w:eastAsia="Times New Roman" w:hAnsi="Times New Roman" w:cs="Times New Roman"/>
        </w:rPr>
        <w:t xml:space="preserve"> of the executive’s compensation as the sum of the </w:t>
      </w:r>
      <w:proofErr w:type="spellStart"/>
      <w:r w:rsidR="00CC69B3" w:rsidRPr="00CC69B3">
        <w:rPr>
          <w:rFonts w:ascii="Times New Roman" w:eastAsia="Times New Roman" w:hAnsi="Times New Roman" w:cs="Times New Roman"/>
        </w:rPr>
        <w:t>vegas</w:t>
      </w:r>
      <w:proofErr w:type="spellEnd"/>
      <w:r w:rsidR="00CC69B3" w:rsidRPr="00CC69B3">
        <w:rPr>
          <w:rFonts w:ascii="Times New Roman" w:eastAsia="Times New Roman" w:hAnsi="Times New Roman" w:cs="Times New Roman"/>
        </w:rPr>
        <w:t xml:space="preserve"> of all option holdings of the executive. Following Coles, Daniel and Naveen (2006), we assume the </w:t>
      </w:r>
      <w:proofErr w:type="spellStart"/>
      <w:proofErr w:type="gramStart"/>
      <w:r w:rsidR="00CC69B3" w:rsidRPr="00CC69B3">
        <w:rPr>
          <w:rFonts w:ascii="Times New Roman" w:eastAsia="Times New Roman" w:hAnsi="Times New Roman" w:cs="Times New Roman"/>
        </w:rPr>
        <w:t>vega</w:t>
      </w:r>
      <w:proofErr w:type="spellEnd"/>
      <w:proofErr w:type="gramEnd"/>
      <w:r w:rsidR="00CC69B3" w:rsidRPr="00CC69B3">
        <w:rPr>
          <w:rFonts w:ascii="Times New Roman" w:eastAsia="Times New Roman" w:hAnsi="Times New Roman" w:cs="Times New Roman"/>
        </w:rPr>
        <w:t xml:space="preserve"> of shareholdings to be zero.</w:t>
      </w:r>
      <w:r w:rsidR="00AF65B2">
        <w:rPr>
          <w:rFonts w:ascii="Times New Roman" w:eastAsia="Times New Roman" w:hAnsi="Times New Roman" w:cs="Times New Roman"/>
        </w:rPr>
        <w:t xml:space="preserve"> </w:t>
      </w:r>
      <w:r w:rsidR="00B24964" w:rsidRPr="00B24964">
        <w:rPr>
          <w:rFonts w:ascii="Times New Roman" w:eastAsia="Times New Roman" w:hAnsi="Times New Roman" w:cs="Times New Roman"/>
        </w:rPr>
        <w:t xml:space="preserve">The </w:t>
      </w:r>
      <w:r w:rsidR="00AF65B2" w:rsidRPr="00B24964">
        <w:rPr>
          <w:rFonts w:ascii="Times New Roman" w:hAnsi="Times New Roman" w:cs="Times New Roman"/>
        </w:rPr>
        <w:t xml:space="preserve">Appendix </w:t>
      </w:r>
      <w:r w:rsidR="00DB27DA" w:rsidRPr="00B24964">
        <w:rPr>
          <w:rFonts w:ascii="Times New Roman" w:hAnsi="Times New Roman" w:cs="Times New Roman"/>
        </w:rPr>
        <w:lastRenderedPageBreak/>
        <w:t xml:space="preserve">describes our delta and </w:t>
      </w:r>
      <w:proofErr w:type="spellStart"/>
      <w:proofErr w:type="gramStart"/>
      <w:r w:rsidR="00DB27DA" w:rsidRPr="00B24964">
        <w:rPr>
          <w:rFonts w:ascii="Times New Roman" w:hAnsi="Times New Roman" w:cs="Times New Roman"/>
        </w:rPr>
        <w:t>vega</w:t>
      </w:r>
      <w:proofErr w:type="spellEnd"/>
      <w:proofErr w:type="gramEnd"/>
      <w:r w:rsidR="00DB27DA" w:rsidRPr="00B24964">
        <w:rPr>
          <w:rFonts w:ascii="Times New Roman" w:hAnsi="Times New Roman" w:cs="Times New Roman"/>
        </w:rPr>
        <w:t xml:space="preserve"> estimation procedure in detail. </w:t>
      </w:r>
      <w:r w:rsidR="00CC69B3" w:rsidRPr="00B24964">
        <w:rPr>
          <w:rFonts w:ascii="Times New Roman" w:eastAsia="Times New Roman" w:hAnsi="Times New Roman" w:cs="Times New Roman"/>
        </w:rPr>
        <w:t xml:space="preserve"> We use lagged compensation</w:t>
      </w:r>
      <w:r w:rsidR="00CC69B3" w:rsidRPr="00CC69B3">
        <w:rPr>
          <w:rFonts w:ascii="Times New Roman" w:eastAsia="Times New Roman" w:hAnsi="Times New Roman" w:cs="Times New Roman"/>
        </w:rPr>
        <w:t xml:space="preserve"> data in all our regressions.</w:t>
      </w:r>
    </w:p>
    <w:p w:rsidR="00BD0E05" w:rsidRPr="006A08EB" w:rsidRDefault="007619CE" w:rsidP="006A08EB">
      <w:pPr>
        <w:widowControl w:val="0"/>
        <w:autoSpaceDE w:val="0"/>
        <w:autoSpaceDN w:val="0"/>
        <w:adjustRightInd w:val="0"/>
        <w:spacing w:after="120" w:line="480" w:lineRule="auto"/>
        <w:ind w:firstLine="720"/>
        <w:jc w:val="both"/>
        <w:rPr>
          <w:rFonts w:ascii="Times New Roman" w:eastAsia="Times New Roman" w:hAnsi="Times New Roman" w:cs="Times New Roman"/>
        </w:rPr>
      </w:pPr>
      <w:r>
        <w:rPr>
          <w:rFonts w:ascii="Times New Roman" w:eastAsia="Times New Roman" w:hAnsi="Times New Roman" w:cs="Times New Roman"/>
        </w:rPr>
        <w:t>Finally, w</w:t>
      </w:r>
      <w:r w:rsidR="00BD0E05" w:rsidRPr="00CC69B3">
        <w:rPr>
          <w:rFonts w:ascii="Times New Roman" w:eastAsia="Times New Roman" w:hAnsi="Times New Roman" w:cs="Times New Roman"/>
        </w:rPr>
        <w:t xml:space="preserve">e obtain </w:t>
      </w:r>
      <w:r w:rsidR="0007335A">
        <w:rPr>
          <w:rFonts w:ascii="Times New Roman" w:eastAsia="Times New Roman" w:hAnsi="Times New Roman" w:cs="Times New Roman"/>
        </w:rPr>
        <w:t xml:space="preserve">financial data from </w:t>
      </w:r>
      <w:proofErr w:type="spellStart"/>
      <w:r w:rsidR="0007335A">
        <w:rPr>
          <w:rFonts w:ascii="Times New Roman" w:eastAsia="Times New Roman" w:hAnsi="Times New Roman" w:cs="Times New Roman"/>
        </w:rPr>
        <w:t>Compustat</w:t>
      </w:r>
      <w:proofErr w:type="spellEnd"/>
      <w:r w:rsidR="0007335A">
        <w:rPr>
          <w:rFonts w:ascii="Times New Roman" w:eastAsia="Times New Roman" w:hAnsi="Times New Roman" w:cs="Times New Roman"/>
        </w:rPr>
        <w:t xml:space="preserve"> and s</w:t>
      </w:r>
      <w:r w:rsidR="00BD0E05" w:rsidRPr="00CC69B3">
        <w:rPr>
          <w:rFonts w:ascii="Times New Roman" w:eastAsia="Times New Roman" w:hAnsi="Times New Roman" w:cs="Times New Roman"/>
        </w:rPr>
        <w:t>tock price</w:t>
      </w:r>
      <w:r w:rsidR="0007335A">
        <w:rPr>
          <w:rFonts w:ascii="Times New Roman" w:eastAsia="Times New Roman" w:hAnsi="Times New Roman" w:cs="Times New Roman"/>
        </w:rPr>
        <w:t xml:space="preserve"> data</w:t>
      </w:r>
      <w:r w:rsidR="00BD0E05" w:rsidRPr="00CC69B3">
        <w:rPr>
          <w:rFonts w:ascii="Times New Roman" w:eastAsia="Times New Roman" w:hAnsi="Times New Roman" w:cs="Times New Roman"/>
        </w:rPr>
        <w:t xml:space="preserve"> from CRSP. </w:t>
      </w:r>
      <w:r w:rsidR="004C6901" w:rsidRPr="00CC69B3">
        <w:rPr>
          <w:rFonts w:ascii="Times New Roman" w:eastAsia="Times New Roman" w:hAnsi="Times New Roman" w:cs="Times New Roman"/>
        </w:rPr>
        <w:t>Th</w:t>
      </w:r>
      <w:r w:rsidR="004C6901">
        <w:rPr>
          <w:rFonts w:ascii="Times New Roman" w:eastAsia="Times New Roman" w:hAnsi="Times New Roman" w:cs="Times New Roman"/>
        </w:rPr>
        <w:t>e</w:t>
      </w:r>
      <w:r w:rsidR="004C6901" w:rsidRPr="00CC69B3">
        <w:rPr>
          <w:rFonts w:ascii="Times New Roman" w:eastAsia="Times New Roman" w:hAnsi="Times New Roman" w:cs="Times New Roman"/>
        </w:rPr>
        <w:t>s</w:t>
      </w:r>
      <w:r w:rsidR="004C6901">
        <w:rPr>
          <w:rFonts w:ascii="Times New Roman" w:eastAsia="Times New Roman" w:hAnsi="Times New Roman" w:cs="Times New Roman"/>
        </w:rPr>
        <w:t>e</w:t>
      </w:r>
      <w:r w:rsidR="004C6901" w:rsidRPr="00CC69B3">
        <w:rPr>
          <w:rFonts w:ascii="Times New Roman" w:eastAsia="Times New Roman" w:hAnsi="Times New Roman" w:cs="Times New Roman"/>
        </w:rPr>
        <w:t xml:space="preserve"> </w:t>
      </w:r>
      <w:r w:rsidR="00BD0E05" w:rsidRPr="00CC69B3">
        <w:rPr>
          <w:rFonts w:ascii="Times New Roman" w:eastAsia="Times New Roman" w:hAnsi="Times New Roman" w:cs="Times New Roman"/>
        </w:rPr>
        <w:t xml:space="preserve">data </w:t>
      </w:r>
      <w:r w:rsidR="004C6901">
        <w:rPr>
          <w:rFonts w:ascii="Times New Roman" w:eastAsia="Times New Roman" w:hAnsi="Times New Roman" w:cs="Times New Roman"/>
        </w:rPr>
        <w:t>are</w:t>
      </w:r>
      <w:r w:rsidR="004C6901" w:rsidRPr="00CC69B3">
        <w:rPr>
          <w:rFonts w:ascii="Times New Roman" w:eastAsia="Times New Roman" w:hAnsi="Times New Roman" w:cs="Times New Roman"/>
        </w:rPr>
        <w:t xml:space="preserve"> </w:t>
      </w:r>
      <w:r w:rsidR="00BD0E05" w:rsidRPr="00CC69B3">
        <w:rPr>
          <w:rFonts w:ascii="Times New Roman" w:eastAsia="Times New Roman" w:hAnsi="Times New Roman" w:cs="Times New Roman"/>
        </w:rPr>
        <w:t xml:space="preserve">used to calculate measures of firm size, </w:t>
      </w:r>
      <w:r w:rsidR="00F564EC">
        <w:rPr>
          <w:rFonts w:ascii="Times New Roman" w:eastAsia="Times New Roman" w:hAnsi="Times New Roman" w:cs="Times New Roman"/>
        </w:rPr>
        <w:t xml:space="preserve">cash holdings, investment growth, </w:t>
      </w:r>
      <w:proofErr w:type="gramStart"/>
      <w:r w:rsidR="00BD0E05" w:rsidRPr="00CC69B3">
        <w:rPr>
          <w:rFonts w:ascii="Times New Roman" w:eastAsia="Times New Roman" w:hAnsi="Times New Roman" w:cs="Times New Roman"/>
        </w:rPr>
        <w:t>market</w:t>
      </w:r>
      <w:proofErr w:type="gramEnd"/>
      <w:r w:rsidR="00BD0E05" w:rsidRPr="00CC69B3">
        <w:rPr>
          <w:rFonts w:ascii="Times New Roman" w:eastAsia="Times New Roman" w:hAnsi="Times New Roman" w:cs="Times New Roman"/>
        </w:rPr>
        <w:t xml:space="preserve">-to-book ratio of assets, leverage, </w:t>
      </w:r>
      <w:r w:rsidR="00BD0E05" w:rsidRPr="00B24964">
        <w:rPr>
          <w:rFonts w:ascii="Times New Roman" w:eastAsia="Times New Roman" w:hAnsi="Times New Roman" w:cs="Times New Roman"/>
        </w:rPr>
        <w:t>liquidity, dividend policy, and Altman’s (1968) Z-score. All variable definitions are provided in</w:t>
      </w:r>
      <w:r w:rsidR="00AF65B2" w:rsidRPr="00B24964">
        <w:rPr>
          <w:rFonts w:ascii="Times New Roman" w:eastAsia="Times New Roman" w:hAnsi="Times New Roman" w:cs="Times New Roman"/>
        </w:rPr>
        <w:t xml:space="preserve"> the</w:t>
      </w:r>
      <w:r w:rsidR="00BD0E05" w:rsidRPr="00B24964">
        <w:rPr>
          <w:rFonts w:ascii="Times New Roman" w:eastAsia="Times New Roman" w:hAnsi="Times New Roman" w:cs="Times New Roman"/>
        </w:rPr>
        <w:t xml:space="preserve"> </w:t>
      </w:r>
      <w:r w:rsidR="00AF65B2" w:rsidRPr="00B24964">
        <w:rPr>
          <w:rFonts w:ascii="Times New Roman" w:eastAsia="Times New Roman" w:hAnsi="Times New Roman" w:cs="Times New Roman"/>
        </w:rPr>
        <w:t>Appendix</w:t>
      </w:r>
      <w:r w:rsidR="00BD0E05" w:rsidRPr="00B24964">
        <w:rPr>
          <w:rFonts w:ascii="Times New Roman" w:eastAsia="Times New Roman" w:hAnsi="Times New Roman" w:cs="Times New Roman"/>
        </w:rPr>
        <w:t xml:space="preserve">. </w:t>
      </w:r>
      <w:proofErr w:type="gramStart"/>
      <w:r w:rsidR="006A08EB" w:rsidRPr="006A08EB">
        <w:rPr>
          <w:rFonts w:ascii="Times New Roman" w:eastAsia="Times New Roman" w:hAnsi="Times New Roman" w:cs="Times New Roman"/>
        </w:rPr>
        <w:t xml:space="preserve">To ensure that outliers in the data do not drive our results, we </w:t>
      </w:r>
      <w:proofErr w:type="spellStart"/>
      <w:r w:rsidR="006A08EB" w:rsidRPr="006A08EB">
        <w:rPr>
          <w:rFonts w:ascii="Times New Roman" w:eastAsia="Times New Roman" w:hAnsi="Times New Roman" w:cs="Times New Roman"/>
        </w:rPr>
        <w:t>winsorize</w:t>
      </w:r>
      <w:proofErr w:type="spellEnd"/>
      <w:r w:rsidR="006A08EB" w:rsidRPr="006A08EB">
        <w:rPr>
          <w:rFonts w:ascii="Times New Roman" w:eastAsia="Times New Roman" w:hAnsi="Times New Roman" w:cs="Times New Roman"/>
        </w:rPr>
        <w:t xml:space="preserve"> all continuous</w:t>
      </w:r>
      <w:r w:rsidR="006A08EB" w:rsidRPr="00B24964">
        <w:rPr>
          <w:rFonts w:ascii="Times New Roman" w:hAnsi="Times New Roman" w:cs="Times New Roman"/>
        </w:rPr>
        <w:t xml:space="preserve"> variables at the </w:t>
      </w:r>
      <w:r w:rsidR="00CB4557">
        <w:rPr>
          <w:rFonts w:ascii="Times New Roman" w:hAnsi="Times New Roman" w:cs="Times New Roman"/>
        </w:rPr>
        <w:t>5</w:t>
      </w:r>
      <w:r w:rsidR="00CB4557">
        <w:rPr>
          <w:rFonts w:ascii="Times New Roman" w:hAnsi="Times New Roman" w:cs="Times New Roman"/>
          <w:vertAlign w:val="superscript"/>
        </w:rPr>
        <w:t>th</w:t>
      </w:r>
      <w:r w:rsidR="006A08EB" w:rsidRPr="00B24964">
        <w:rPr>
          <w:rFonts w:ascii="Times New Roman" w:hAnsi="Times New Roman" w:cs="Times New Roman"/>
        </w:rPr>
        <w:t xml:space="preserve"> and 9</w:t>
      </w:r>
      <w:r w:rsidR="00CB4557">
        <w:rPr>
          <w:rFonts w:ascii="Times New Roman" w:hAnsi="Times New Roman" w:cs="Times New Roman"/>
        </w:rPr>
        <w:t>5</w:t>
      </w:r>
      <w:r w:rsidR="006A08EB" w:rsidRPr="00B24964">
        <w:rPr>
          <w:rFonts w:ascii="Times New Roman" w:hAnsi="Times New Roman" w:cs="Times New Roman"/>
          <w:vertAlign w:val="superscript"/>
        </w:rPr>
        <w:t>th</w:t>
      </w:r>
      <w:r w:rsidR="006A08EB" w:rsidRPr="00B24964">
        <w:rPr>
          <w:rFonts w:ascii="Times New Roman" w:hAnsi="Times New Roman" w:cs="Times New Roman"/>
        </w:rPr>
        <w:t xml:space="preserve"> percentiles.</w:t>
      </w:r>
      <w:proofErr w:type="gramEnd"/>
      <w:r w:rsidR="00CB4557">
        <w:rPr>
          <w:rStyle w:val="FootnoteReference"/>
          <w:rFonts w:ascii="Times New Roman" w:eastAsia="Times New Roman" w:hAnsi="Times New Roman" w:cs="Times New Roman"/>
        </w:rPr>
        <w:footnoteReference w:id="16"/>
      </w:r>
      <w:r w:rsidR="00CB4557">
        <w:rPr>
          <w:rFonts w:ascii="Times New Roman" w:eastAsia="Times New Roman" w:hAnsi="Times New Roman" w:cs="Times New Roman"/>
        </w:rPr>
        <w:t xml:space="preserve"> </w:t>
      </w:r>
      <w:r w:rsidR="00CB4557">
        <w:rPr>
          <w:rFonts w:ascii="Times New Roman" w:hAnsi="Times New Roman" w:cs="Times New Roman"/>
        </w:rPr>
        <w:t xml:space="preserve"> </w:t>
      </w:r>
      <w:r w:rsidR="006A08EB" w:rsidRPr="00B24964">
        <w:rPr>
          <w:rFonts w:ascii="Times New Roman" w:hAnsi="Times New Roman" w:cs="Times New Roman"/>
        </w:rPr>
        <w:t xml:space="preserve">  </w:t>
      </w:r>
    </w:p>
    <w:p w:rsidR="00C13E90" w:rsidRDefault="006A08EB" w:rsidP="006A08EB">
      <w:pPr>
        <w:spacing w:after="120" w:line="480" w:lineRule="auto"/>
        <w:jc w:val="both"/>
        <w:rPr>
          <w:rFonts w:ascii="Times New Roman" w:eastAsia="Times New Roman" w:hAnsi="Times New Roman" w:cs="Times New Roman"/>
        </w:rPr>
      </w:pPr>
      <w:r>
        <w:rPr>
          <w:rFonts w:ascii="Times New Roman" w:eastAsia="Times New Roman" w:hAnsi="Times New Roman" w:cs="Times New Roman"/>
        </w:rPr>
        <w:tab/>
      </w:r>
      <w:r w:rsidR="00620C94" w:rsidRPr="006A08EB">
        <w:rPr>
          <w:rFonts w:ascii="Times New Roman" w:eastAsia="Times New Roman" w:hAnsi="Times New Roman" w:cs="Times New Roman"/>
        </w:rPr>
        <w:t xml:space="preserve">We are able to locate 10K reports covering fiscal-years 2003 to 2006 with information that allows calculation of hedge ratios and available CEO compensation data for </w:t>
      </w:r>
      <w:r w:rsidR="000C1EB0">
        <w:rPr>
          <w:rFonts w:ascii="Times New Roman" w:eastAsia="Times New Roman" w:hAnsi="Times New Roman" w:cs="Times New Roman"/>
        </w:rPr>
        <w:t>154</w:t>
      </w:r>
      <w:r w:rsidR="00620C94" w:rsidRPr="006A08EB">
        <w:rPr>
          <w:rFonts w:ascii="Times New Roman" w:eastAsia="Times New Roman" w:hAnsi="Times New Roman" w:cs="Times New Roman"/>
        </w:rPr>
        <w:t xml:space="preserve"> firm-year observations.</w:t>
      </w:r>
      <w:r w:rsidR="008E4C02">
        <w:rPr>
          <w:rStyle w:val="FootnoteReference"/>
          <w:rFonts w:ascii="Times New Roman" w:eastAsia="Times New Roman" w:hAnsi="Times New Roman" w:cs="Times New Roman"/>
        </w:rPr>
        <w:footnoteReference w:id="17"/>
      </w:r>
      <w:r w:rsidR="00620C94" w:rsidRPr="006A08EB">
        <w:rPr>
          <w:rFonts w:ascii="Times New Roman" w:eastAsia="Times New Roman" w:hAnsi="Times New Roman" w:cs="Times New Roman"/>
        </w:rPr>
        <w:t xml:space="preserve"> This includes </w:t>
      </w:r>
      <w:r w:rsidR="00AD31DF">
        <w:rPr>
          <w:rFonts w:ascii="Times New Roman" w:eastAsia="Times New Roman" w:hAnsi="Times New Roman" w:cs="Times New Roman"/>
        </w:rPr>
        <w:t>42</w:t>
      </w:r>
      <w:r w:rsidR="00620C94" w:rsidRPr="006A08EB">
        <w:rPr>
          <w:rFonts w:ascii="Times New Roman" w:eastAsia="Times New Roman" w:hAnsi="Times New Roman" w:cs="Times New Roman"/>
        </w:rPr>
        <w:t xml:space="preserve"> unique firms that have at least one year of data in each pre- and post- treatment </w:t>
      </w:r>
      <w:r w:rsidR="00C4437A" w:rsidRPr="006A08EB">
        <w:rPr>
          <w:rFonts w:ascii="Times New Roman" w:eastAsia="Times New Roman" w:hAnsi="Times New Roman" w:cs="Times New Roman"/>
        </w:rPr>
        <w:t>periods</w:t>
      </w:r>
      <w:r w:rsidR="00620C94" w:rsidRPr="006A08EB">
        <w:rPr>
          <w:rFonts w:ascii="Times New Roman" w:eastAsia="Times New Roman" w:hAnsi="Times New Roman" w:cs="Times New Roman"/>
        </w:rPr>
        <w:t>. All the variables are measured at the end of each fiscal year.</w:t>
      </w:r>
      <w:r w:rsidR="006D73D4" w:rsidRPr="006A08EB">
        <w:rPr>
          <w:rFonts w:ascii="Times New Roman" w:eastAsia="Times New Roman" w:hAnsi="Times New Roman" w:cs="Times New Roman"/>
        </w:rPr>
        <w:t xml:space="preserve"> The first group contains firms that did not pay any options to their executives in the 2003 and 2004 (the pre-treatment period). </w:t>
      </w:r>
      <w:r w:rsidRPr="006A08EB">
        <w:rPr>
          <w:rFonts w:ascii="Times New Roman" w:eastAsia="Times New Roman" w:hAnsi="Times New Roman" w:cs="Times New Roman"/>
        </w:rPr>
        <w:t xml:space="preserve">We identify these firms using </w:t>
      </w:r>
      <w:proofErr w:type="spellStart"/>
      <w:r w:rsidRPr="006A08EB">
        <w:rPr>
          <w:rFonts w:ascii="Times New Roman" w:eastAsia="Times New Roman" w:hAnsi="Times New Roman" w:cs="Times New Roman"/>
        </w:rPr>
        <w:t>ExecuComp</w:t>
      </w:r>
      <w:proofErr w:type="spellEnd"/>
      <w:r w:rsidRPr="006A08EB">
        <w:rPr>
          <w:rFonts w:ascii="Times New Roman" w:eastAsia="Times New Roman" w:hAnsi="Times New Roman" w:cs="Times New Roman"/>
        </w:rPr>
        <w:t>. The second control group contains</w:t>
      </w:r>
      <w:r w:rsidR="006D73D4" w:rsidRPr="006A08EB">
        <w:rPr>
          <w:rFonts w:ascii="Times New Roman" w:eastAsia="Times New Roman" w:hAnsi="Times New Roman" w:cs="Times New Roman"/>
        </w:rPr>
        <w:t xml:space="preserve"> fir</w:t>
      </w:r>
      <w:r w:rsidRPr="006A08EB">
        <w:rPr>
          <w:rFonts w:ascii="Times New Roman" w:eastAsia="Times New Roman" w:hAnsi="Times New Roman" w:cs="Times New Roman"/>
        </w:rPr>
        <w:t xml:space="preserve">ms that started using fair-value method </w:t>
      </w:r>
      <w:r w:rsidR="006D73D4" w:rsidRPr="006A08EB">
        <w:rPr>
          <w:rFonts w:ascii="Times New Roman" w:eastAsia="Times New Roman" w:hAnsi="Times New Roman" w:cs="Times New Roman"/>
        </w:rPr>
        <w:t>prior to 2005</w:t>
      </w:r>
      <w:r w:rsidR="004C6901">
        <w:rPr>
          <w:rFonts w:ascii="Times New Roman" w:eastAsia="Times New Roman" w:hAnsi="Times New Roman" w:cs="Times New Roman"/>
        </w:rPr>
        <w:t xml:space="preserve"> </w:t>
      </w:r>
      <w:r w:rsidRPr="006A08EB">
        <w:rPr>
          <w:rFonts w:ascii="Times New Roman" w:eastAsia="Times New Roman" w:hAnsi="Times New Roman" w:cs="Times New Roman"/>
        </w:rPr>
        <w:t>in accounting for executive option expenses. Similar to Carter et al</w:t>
      </w:r>
      <w:r w:rsidR="000971FD">
        <w:rPr>
          <w:rFonts w:ascii="Times New Roman" w:eastAsia="Times New Roman" w:hAnsi="Times New Roman" w:cs="Times New Roman"/>
        </w:rPr>
        <w:t>.</w:t>
      </w:r>
      <w:r w:rsidRPr="006A08EB">
        <w:rPr>
          <w:rFonts w:ascii="Times New Roman" w:eastAsia="Times New Roman" w:hAnsi="Times New Roman" w:cs="Times New Roman"/>
        </w:rPr>
        <w:t xml:space="preserve"> </w:t>
      </w:r>
      <w:r>
        <w:rPr>
          <w:rFonts w:ascii="Times New Roman" w:eastAsia="Times New Roman" w:hAnsi="Times New Roman" w:cs="Times New Roman"/>
        </w:rPr>
        <w:t>(2007) and Brown</w:t>
      </w:r>
      <w:r w:rsidRPr="006A08EB">
        <w:rPr>
          <w:rFonts w:ascii="Times New Roman" w:eastAsia="Times New Roman" w:hAnsi="Times New Roman" w:cs="Times New Roman"/>
        </w:rPr>
        <w:t xml:space="preserve"> and Lee</w:t>
      </w:r>
      <w:r>
        <w:rPr>
          <w:rFonts w:ascii="Times New Roman" w:eastAsia="Times New Roman" w:hAnsi="Times New Roman" w:cs="Times New Roman"/>
        </w:rPr>
        <w:t xml:space="preserve"> (2011)</w:t>
      </w:r>
      <w:r w:rsidRPr="006A08EB">
        <w:rPr>
          <w:rFonts w:ascii="Times New Roman" w:eastAsia="Times New Roman" w:hAnsi="Times New Roman" w:cs="Times New Roman"/>
        </w:rPr>
        <w:t>, we identify firms within SIC code of 1311 that voluntarily expensed stock options based on Bear Stearns Equity Research dated December</w:t>
      </w:r>
      <w:r>
        <w:rPr>
          <w:rFonts w:ascii="Times New Roman" w:eastAsia="Times New Roman" w:hAnsi="Times New Roman" w:cs="Times New Roman"/>
        </w:rPr>
        <w:t xml:space="preserve"> </w:t>
      </w:r>
      <w:r w:rsidRPr="006A08EB">
        <w:rPr>
          <w:rFonts w:ascii="Times New Roman" w:eastAsia="Times New Roman" w:hAnsi="Times New Roman" w:cs="Times New Roman"/>
        </w:rPr>
        <w:t xml:space="preserve">16, 2004 (McConnell, </w:t>
      </w:r>
      <w:proofErr w:type="spellStart"/>
      <w:r w:rsidRPr="006A08EB">
        <w:rPr>
          <w:rFonts w:ascii="Times New Roman" w:eastAsia="Times New Roman" w:hAnsi="Times New Roman" w:cs="Times New Roman"/>
        </w:rPr>
        <w:t>Pegg</w:t>
      </w:r>
      <w:proofErr w:type="spellEnd"/>
      <w:r w:rsidRPr="006A08EB">
        <w:rPr>
          <w:rFonts w:ascii="Times New Roman" w:eastAsia="Times New Roman" w:hAnsi="Times New Roman" w:cs="Times New Roman"/>
        </w:rPr>
        <w:t>, </w:t>
      </w:r>
      <w:proofErr w:type="spellStart"/>
      <w:r w:rsidRPr="006A08EB">
        <w:rPr>
          <w:rFonts w:ascii="Times New Roman" w:eastAsia="Times New Roman" w:hAnsi="Times New Roman" w:cs="Times New Roman"/>
        </w:rPr>
        <w:t>Senyek</w:t>
      </w:r>
      <w:proofErr w:type="spellEnd"/>
      <w:r w:rsidRPr="006A08EB">
        <w:rPr>
          <w:rFonts w:ascii="Times New Roman" w:eastAsia="Times New Roman" w:hAnsi="Times New Roman" w:cs="Times New Roman"/>
        </w:rPr>
        <w:t xml:space="preserve"> and Mott</w:t>
      </w:r>
      <w:r w:rsidR="006442E9">
        <w:rPr>
          <w:rFonts w:ascii="Times New Roman" w:eastAsia="Times New Roman" w:hAnsi="Times New Roman" w:cs="Times New Roman"/>
        </w:rPr>
        <w:t xml:space="preserve">, </w:t>
      </w:r>
      <w:r w:rsidRPr="006A08EB">
        <w:rPr>
          <w:rFonts w:ascii="Times New Roman" w:eastAsia="Times New Roman" w:hAnsi="Times New Roman" w:cs="Times New Roman"/>
        </w:rPr>
        <w:t>2004</w:t>
      </w:r>
      <w:r w:rsidR="00A7118B">
        <w:rPr>
          <w:rFonts w:ascii="Times New Roman" w:eastAsia="Times New Roman" w:hAnsi="Times New Roman" w:cs="Times New Roman"/>
        </w:rPr>
        <w:t>)</w:t>
      </w:r>
      <w:r w:rsidRPr="006A08EB">
        <w:rPr>
          <w:rFonts w:ascii="Times New Roman" w:eastAsia="Times New Roman" w:hAnsi="Times New Roman" w:cs="Times New Roman"/>
        </w:rPr>
        <w:t>.</w:t>
      </w:r>
      <w:r>
        <w:rPr>
          <w:rFonts w:ascii="Times New Roman" w:eastAsia="Times New Roman" w:hAnsi="Times New Roman" w:cs="Times New Roman"/>
        </w:rPr>
        <w:t xml:space="preserve"> This </w:t>
      </w:r>
      <w:r w:rsidR="004C6901">
        <w:rPr>
          <w:rFonts w:ascii="Times New Roman" w:eastAsia="Times New Roman" w:hAnsi="Times New Roman" w:cs="Times New Roman"/>
        </w:rPr>
        <w:t xml:space="preserve">helped us identify </w:t>
      </w:r>
      <w:r>
        <w:rPr>
          <w:rFonts w:ascii="Times New Roman" w:eastAsia="Times New Roman" w:hAnsi="Times New Roman" w:cs="Times New Roman"/>
        </w:rPr>
        <w:t xml:space="preserve">seven firms (1) that </w:t>
      </w:r>
      <w:r w:rsidRPr="006A08EB">
        <w:rPr>
          <w:rFonts w:ascii="Times New Roman" w:eastAsia="Times New Roman" w:hAnsi="Times New Roman" w:cs="Times New Roman"/>
        </w:rPr>
        <w:t xml:space="preserve">began to expense stock options using the fair-value method in 2002 and </w:t>
      </w:r>
      <w:r>
        <w:rPr>
          <w:rFonts w:ascii="Times New Roman" w:eastAsia="Times New Roman" w:hAnsi="Times New Roman" w:cs="Times New Roman"/>
        </w:rPr>
        <w:t xml:space="preserve">(2) that </w:t>
      </w:r>
      <w:r w:rsidRPr="006A08EB">
        <w:rPr>
          <w:rFonts w:ascii="Times New Roman" w:eastAsia="Times New Roman" w:hAnsi="Times New Roman" w:cs="Times New Roman"/>
        </w:rPr>
        <w:t>have both </w:t>
      </w:r>
      <w:proofErr w:type="spellStart"/>
      <w:r w:rsidRPr="006A08EB">
        <w:rPr>
          <w:rFonts w:ascii="Times New Roman" w:eastAsia="Times New Roman" w:hAnsi="Times New Roman" w:cs="Times New Roman"/>
        </w:rPr>
        <w:t>ExecuComp</w:t>
      </w:r>
      <w:proofErr w:type="spellEnd"/>
      <w:r w:rsidRPr="006A08EB">
        <w:rPr>
          <w:rFonts w:ascii="Times New Roman" w:eastAsia="Times New Roman" w:hAnsi="Times New Roman" w:cs="Times New Roman"/>
        </w:rPr>
        <w:t xml:space="preserve"> and </w:t>
      </w:r>
      <w:proofErr w:type="spellStart"/>
      <w:r w:rsidRPr="006A08EB">
        <w:rPr>
          <w:rFonts w:ascii="Times New Roman" w:eastAsia="Times New Roman" w:hAnsi="Times New Roman" w:cs="Times New Roman"/>
        </w:rPr>
        <w:t>Compustat</w:t>
      </w:r>
      <w:proofErr w:type="spellEnd"/>
      <w:r w:rsidRPr="006A08EB">
        <w:rPr>
          <w:rFonts w:ascii="Times New Roman" w:eastAsia="Times New Roman" w:hAnsi="Times New Roman" w:cs="Times New Roman"/>
        </w:rPr>
        <w:t xml:space="preserve"> data in our pre- and post- treatment periods. The first and second control groups have </w:t>
      </w:r>
      <w:r w:rsidR="000C1EB0">
        <w:rPr>
          <w:rFonts w:ascii="Times New Roman" w:eastAsia="Times New Roman" w:hAnsi="Times New Roman" w:cs="Times New Roman"/>
        </w:rPr>
        <w:t>ten</w:t>
      </w:r>
      <w:r w:rsidRPr="006A08EB">
        <w:rPr>
          <w:rFonts w:ascii="Times New Roman" w:eastAsia="Times New Roman" w:hAnsi="Times New Roman" w:cs="Times New Roman"/>
        </w:rPr>
        <w:t xml:space="preserve"> and seven unique firms respectively with data available in at least one year in the pre and post-treatment periods. The </w:t>
      </w:r>
      <w:r>
        <w:rPr>
          <w:rFonts w:ascii="Times New Roman" w:eastAsia="Times New Roman" w:hAnsi="Times New Roman" w:cs="Times New Roman"/>
        </w:rPr>
        <w:t xml:space="preserve">first and </w:t>
      </w:r>
      <w:r w:rsidRPr="006A08EB">
        <w:rPr>
          <w:rFonts w:ascii="Times New Roman" w:eastAsia="Times New Roman" w:hAnsi="Times New Roman" w:cs="Times New Roman"/>
        </w:rPr>
        <w:t>second control group</w:t>
      </w:r>
      <w:r>
        <w:rPr>
          <w:rFonts w:ascii="Times New Roman" w:eastAsia="Times New Roman" w:hAnsi="Times New Roman" w:cs="Times New Roman"/>
        </w:rPr>
        <w:t>s</w:t>
      </w:r>
      <w:r w:rsidRPr="006A08EB">
        <w:rPr>
          <w:rFonts w:ascii="Times New Roman" w:eastAsia="Times New Roman" w:hAnsi="Times New Roman" w:cs="Times New Roman"/>
        </w:rPr>
        <w:t xml:space="preserve"> consis</w:t>
      </w:r>
      <w:r>
        <w:rPr>
          <w:rFonts w:ascii="Times New Roman" w:eastAsia="Times New Roman" w:hAnsi="Times New Roman" w:cs="Times New Roman"/>
        </w:rPr>
        <w:t>t of 3</w:t>
      </w:r>
      <w:r w:rsidR="000C1EB0">
        <w:rPr>
          <w:rFonts w:ascii="Times New Roman" w:eastAsia="Times New Roman" w:hAnsi="Times New Roman" w:cs="Times New Roman"/>
        </w:rPr>
        <w:t>6</w:t>
      </w:r>
      <w:r>
        <w:rPr>
          <w:rFonts w:ascii="Times New Roman" w:eastAsia="Times New Roman" w:hAnsi="Times New Roman" w:cs="Times New Roman"/>
        </w:rPr>
        <w:t xml:space="preserve"> and 26 firm-year observations respectively. </w:t>
      </w:r>
    </w:p>
    <w:p w:rsidR="00B0608C" w:rsidRPr="00B24964" w:rsidRDefault="00B0608C" w:rsidP="00B0608C">
      <w:pPr>
        <w:pStyle w:val="ListParagraph"/>
        <w:keepNext/>
        <w:numPr>
          <w:ilvl w:val="0"/>
          <w:numId w:val="3"/>
        </w:numPr>
        <w:spacing w:after="0" w:line="480" w:lineRule="auto"/>
        <w:ind w:hanging="648"/>
        <w:outlineLvl w:val="0"/>
        <w:rPr>
          <w:rFonts w:ascii="Times New Roman" w:eastAsia="Times New Roman" w:hAnsi="Times New Roman" w:cs="Times New Roman"/>
          <w:b/>
          <w:bCs/>
        </w:rPr>
      </w:pPr>
      <w:r w:rsidRPr="00B24964">
        <w:rPr>
          <w:rFonts w:ascii="Times New Roman" w:eastAsia="Times New Roman" w:hAnsi="Times New Roman" w:cs="Times New Roman"/>
          <w:b/>
          <w:bCs/>
        </w:rPr>
        <w:lastRenderedPageBreak/>
        <w:t>Empirical Analysis</w:t>
      </w:r>
    </w:p>
    <w:p w:rsidR="00CF7165" w:rsidRDefault="0094593E" w:rsidP="009353D2">
      <w:pPr>
        <w:autoSpaceDE w:val="0"/>
        <w:autoSpaceDN w:val="0"/>
        <w:adjustRightInd w:val="0"/>
        <w:spacing w:after="120" w:line="480" w:lineRule="auto"/>
        <w:ind w:firstLine="720"/>
        <w:jc w:val="both"/>
        <w:rPr>
          <w:rFonts w:ascii="Times New Roman" w:eastAsia="Times New Roman" w:hAnsi="Times New Roman" w:cs="Times New Roman"/>
        </w:rPr>
      </w:pPr>
      <w:r w:rsidRPr="00B24964">
        <w:rPr>
          <w:rFonts w:ascii="Times New Roman" w:hAnsi="Times New Roman" w:cs="Times New Roman"/>
        </w:rPr>
        <w:t>Our sample</w:t>
      </w:r>
      <w:r w:rsidR="00611B8E" w:rsidRPr="00B24964">
        <w:rPr>
          <w:rFonts w:ascii="Times New Roman" w:hAnsi="Times New Roman" w:cs="Times New Roman"/>
        </w:rPr>
        <w:t xml:space="preserve"> of </w:t>
      </w:r>
      <w:r w:rsidR="000C1EB0">
        <w:rPr>
          <w:rFonts w:ascii="Times New Roman" w:hAnsi="Times New Roman" w:cs="Times New Roman"/>
        </w:rPr>
        <w:t>154</w:t>
      </w:r>
      <w:r w:rsidR="00620C94" w:rsidRPr="00B24964">
        <w:rPr>
          <w:rFonts w:ascii="Times New Roman" w:hAnsi="Times New Roman" w:cs="Times New Roman"/>
        </w:rPr>
        <w:t xml:space="preserve"> firm-year observations</w:t>
      </w:r>
      <w:r w:rsidRPr="00B24964">
        <w:rPr>
          <w:rFonts w:ascii="Times New Roman" w:hAnsi="Times New Roman" w:cs="Times New Roman"/>
        </w:rPr>
        <w:t xml:space="preserve"> </w:t>
      </w:r>
      <w:r w:rsidR="002D6154" w:rsidRPr="00B24964">
        <w:rPr>
          <w:rFonts w:ascii="Times New Roman" w:hAnsi="Times New Roman" w:cs="Times New Roman"/>
        </w:rPr>
        <w:t xml:space="preserve">from 2003 to 2006 </w:t>
      </w:r>
      <w:r w:rsidRPr="00B24964">
        <w:rPr>
          <w:rFonts w:ascii="Times New Roman" w:hAnsi="Times New Roman" w:cs="Times New Roman"/>
        </w:rPr>
        <w:t>is</w:t>
      </w:r>
      <w:r w:rsidR="00611B8E" w:rsidRPr="00B24964">
        <w:rPr>
          <w:rFonts w:ascii="Times New Roman" w:hAnsi="Times New Roman" w:cs="Times New Roman"/>
        </w:rPr>
        <w:t xml:space="preserve"> summarized in Table 1. </w:t>
      </w:r>
      <w:r w:rsidR="00CF7165">
        <w:rPr>
          <w:rFonts w:ascii="Times New Roman" w:eastAsia="Times New Roman" w:hAnsi="Times New Roman" w:cs="Times New Roman"/>
        </w:rPr>
        <w:t xml:space="preserve">The firms in our sample are relatively frequent </w:t>
      </w:r>
      <w:r w:rsidR="00CF7165" w:rsidRPr="00270BEB">
        <w:rPr>
          <w:rFonts w:ascii="Times New Roman" w:eastAsia="Times New Roman" w:hAnsi="Times New Roman" w:cs="Times New Roman"/>
        </w:rPr>
        <w:t>hedgers. Roughly 82 percent of the sample firms hedge their oil or gas production. Firms sold short an average of about 2</w:t>
      </w:r>
      <w:r w:rsidR="000C1EB0">
        <w:rPr>
          <w:rFonts w:ascii="Times New Roman" w:eastAsia="Times New Roman" w:hAnsi="Times New Roman" w:cs="Times New Roman"/>
        </w:rPr>
        <w:t>4</w:t>
      </w:r>
      <w:r w:rsidR="00CF7165" w:rsidRPr="00270BEB">
        <w:rPr>
          <w:rFonts w:ascii="Times New Roman" w:eastAsia="Times New Roman" w:hAnsi="Times New Roman" w:cs="Times New Roman"/>
        </w:rPr>
        <w:t>% of their oil</w:t>
      </w:r>
      <w:r w:rsidR="00C52B63">
        <w:rPr>
          <w:rFonts w:ascii="Times New Roman" w:eastAsia="Times New Roman" w:hAnsi="Times New Roman" w:cs="Times New Roman"/>
        </w:rPr>
        <w:t xml:space="preserve"> and </w:t>
      </w:r>
      <w:r w:rsidR="00CF7165" w:rsidRPr="00270BEB">
        <w:rPr>
          <w:rFonts w:ascii="Times New Roman" w:eastAsia="Times New Roman" w:hAnsi="Times New Roman" w:cs="Times New Roman"/>
        </w:rPr>
        <w:t>gas production or 2% of their reserves.</w:t>
      </w:r>
    </w:p>
    <w:p w:rsidR="00270BEB" w:rsidRPr="00270BEB" w:rsidRDefault="00270BEB" w:rsidP="00270BEB">
      <w:pPr>
        <w:autoSpaceDE w:val="0"/>
        <w:autoSpaceDN w:val="0"/>
        <w:adjustRightInd w:val="0"/>
        <w:spacing w:after="120" w:line="480" w:lineRule="auto"/>
        <w:ind w:firstLine="720"/>
        <w:jc w:val="center"/>
        <w:rPr>
          <w:rFonts w:ascii="Times New Roman" w:eastAsia="Times New Roman" w:hAnsi="Times New Roman" w:cs="Times New Roman"/>
        </w:rPr>
      </w:pPr>
      <w:r w:rsidRPr="00270BEB">
        <w:rPr>
          <w:rFonts w:ascii="Times New Roman" w:eastAsia="Times New Roman" w:hAnsi="Times New Roman" w:cs="Times New Roman"/>
        </w:rPr>
        <w:t>[Insert Table 1 here]</w:t>
      </w:r>
    </w:p>
    <w:p w:rsidR="00CF7165" w:rsidRDefault="00AF1F8A" w:rsidP="00CF7165">
      <w:pPr>
        <w:autoSpaceDE w:val="0"/>
        <w:autoSpaceDN w:val="0"/>
        <w:adjustRightInd w:val="0"/>
        <w:spacing w:after="120" w:line="480" w:lineRule="auto"/>
        <w:ind w:firstLine="720"/>
        <w:jc w:val="both"/>
        <w:rPr>
          <w:rFonts w:ascii="TimesNewRomanPSMT" w:hAnsi="TimesNewRomanPSMT" w:cs="TimesNewRomanPSMT"/>
        </w:rPr>
      </w:pPr>
      <w:r w:rsidRPr="00270BEB">
        <w:rPr>
          <w:rFonts w:ascii="Times New Roman" w:hAnsi="Times New Roman" w:cs="Times New Roman"/>
        </w:rPr>
        <w:t xml:space="preserve">In Altman (1968) </w:t>
      </w:r>
      <w:r w:rsidR="00CF7165" w:rsidRPr="00270BEB">
        <w:rPr>
          <w:rFonts w:ascii="Times New Roman" w:hAnsi="Times New Roman" w:cs="Times New Roman"/>
        </w:rPr>
        <w:t>firms with Z-scores less than 1.81 are associated with a “high” probability of distress, whereas firms with Z-scores above 2.99 are in the “safe zone.</w:t>
      </w:r>
      <w:r w:rsidR="00A32F02" w:rsidRPr="00270BEB">
        <w:rPr>
          <w:rFonts w:ascii="Times New Roman" w:hAnsi="Times New Roman" w:cs="Times New Roman"/>
        </w:rPr>
        <w:t xml:space="preserve">” As can be seen in Panel </w:t>
      </w:r>
      <w:proofErr w:type="gramStart"/>
      <w:r w:rsidR="00A32F02" w:rsidRPr="00270BEB">
        <w:rPr>
          <w:rFonts w:ascii="Times New Roman" w:hAnsi="Times New Roman" w:cs="Times New Roman"/>
        </w:rPr>
        <w:t>A</w:t>
      </w:r>
      <w:proofErr w:type="gramEnd"/>
      <w:r w:rsidR="00A32F02" w:rsidRPr="00270BEB">
        <w:rPr>
          <w:rFonts w:ascii="Times New Roman" w:hAnsi="Times New Roman" w:cs="Times New Roman"/>
        </w:rPr>
        <w:t xml:space="preserve"> of Table 1 </w:t>
      </w:r>
      <w:r w:rsidR="00CF7165" w:rsidRPr="00270BEB">
        <w:rPr>
          <w:rFonts w:ascii="Times New Roman" w:hAnsi="Times New Roman" w:cs="Times New Roman"/>
        </w:rPr>
        <w:t>mean and median Z-scores in our sample are 2.</w:t>
      </w:r>
      <w:r w:rsidR="000C1EB0">
        <w:rPr>
          <w:rFonts w:ascii="Times New Roman" w:hAnsi="Times New Roman" w:cs="Times New Roman"/>
        </w:rPr>
        <w:t>55</w:t>
      </w:r>
      <w:r w:rsidR="00CF7165" w:rsidRPr="00270BEB">
        <w:rPr>
          <w:rFonts w:ascii="Times New Roman" w:hAnsi="Times New Roman" w:cs="Times New Roman"/>
        </w:rPr>
        <w:t xml:space="preserve"> and 2.35, respectively</w:t>
      </w:r>
      <w:r w:rsidR="00CF7165" w:rsidRPr="00A32F02">
        <w:rPr>
          <w:rFonts w:ascii="TimesNewRomanPSMT" w:hAnsi="TimesNewRomanPSMT" w:cs="TimesNewRomanPSMT"/>
        </w:rPr>
        <w:t>, the 25th and 75th percentiles are 1.604 and 3.063.</w:t>
      </w:r>
      <w:r w:rsidR="005E41DA">
        <w:rPr>
          <w:rFonts w:ascii="TimesNewRomanPSMT" w:hAnsi="TimesNewRomanPSMT" w:cs="TimesNewRomanPSMT"/>
        </w:rPr>
        <w:t xml:space="preserve"> </w:t>
      </w:r>
      <w:r w:rsidR="00CF7165" w:rsidRPr="00A32F02">
        <w:rPr>
          <w:rFonts w:ascii="TimesNewRomanPSMT" w:hAnsi="TimesNewRomanPSMT" w:cs="TimesNewRomanPSMT"/>
        </w:rPr>
        <w:t>Thus, despite the industry focus, the firms in our sample exhibit a wide range of probabilities of bankruptcy with approximately a third having Z-scores below 1.81.</w:t>
      </w:r>
    </w:p>
    <w:p w:rsidR="005A4611" w:rsidRDefault="005A4611" w:rsidP="00CF7165">
      <w:pPr>
        <w:autoSpaceDE w:val="0"/>
        <w:autoSpaceDN w:val="0"/>
        <w:adjustRightInd w:val="0"/>
        <w:spacing w:after="120" w:line="480" w:lineRule="auto"/>
        <w:ind w:firstLine="720"/>
        <w:jc w:val="both"/>
        <w:rPr>
          <w:rFonts w:ascii="TimesNewRomanPSMT" w:hAnsi="TimesNewRomanPSMT" w:cs="TimesNewRomanPSMT"/>
          <w:color w:val="4F6228" w:themeColor="accent3" w:themeShade="80"/>
        </w:rPr>
      </w:pPr>
      <w:r w:rsidRPr="00B24964">
        <w:rPr>
          <w:rFonts w:ascii="Times New Roman" w:hAnsi="Times New Roman" w:cs="Times New Roman"/>
        </w:rPr>
        <w:t>In our sample</w:t>
      </w:r>
      <w:r w:rsidR="008964A7">
        <w:rPr>
          <w:rFonts w:ascii="Times New Roman" w:hAnsi="Times New Roman" w:cs="Times New Roman"/>
        </w:rPr>
        <w:t>,</w:t>
      </w:r>
      <w:r w:rsidRPr="00B24964">
        <w:rPr>
          <w:rFonts w:ascii="Times New Roman" w:hAnsi="Times New Roman" w:cs="Times New Roman"/>
        </w:rPr>
        <w:t xml:space="preserve"> Apache Corporation is an example of a firm that did not include any options in their CEO pay in in 2002, 2003 and 2004.   Although Apache’s CEO did receive options prior to 2002 he was not granted any option</w:t>
      </w:r>
      <w:r>
        <w:rPr>
          <w:rFonts w:ascii="Times New Roman" w:hAnsi="Times New Roman" w:cs="Times New Roman"/>
        </w:rPr>
        <w:t>s</w:t>
      </w:r>
      <w:r w:rsidRPr="00B24964">
        <w:rPr>
          <w:rFonts w:ascii="Times New Roman" w:hAnsi="Times New Roman" w:cs="Times New Roman"/>
        </w:rPr>
        <w:t xml:space="preserve"> in the pre-</w:t>
      </w:r>
      <w:r w:rsidR="00D445F5">
        <w:rPr>
          <w:rFonts w:ascii="Times New Roman" w:hAnsi="Times New Roman" w:cs="Times New Roman"/>
        </w:rPr>
        <w:t>FAS 123R</w:t>
      </w:r>
      <w:r w:rsidRPr="00B24964">
        <w:rPr>
          <w:rFonts w:ascii="Times New Roman" w:hAnsi="Times New Roman" w:cs="Times New Roman"/>
        </w:rPr>
        <w:t xml:space="preserve"> period. It therefore satisfies our requirement to be included in the first control group. Apache also voluntarily started using the fair-value method to account for their executive equity-based pay prior to the </w:t>
      </w:r>
      <w:r w:rsidR="00D445F5">
        <w:rPr>
          <w:rFonts w:ascii="Times New Roman" w:hAnsi="Times New Roman" w:cs="Times New Roman"/>
        </w:rPr>
        <w:t>FAS 123R</w:t>
      </w:r>
      <w:r w:rsidRPr="00B24964">
        <w:rPr>
          <w:rFonts w:ascii="Times New Roman" w:hAnsi="Times New Roman" w:cs="Times New Roman"/>
        </w:rPr>
        <w:t xml:space="preserve"> implementation in 2005. Therefore, in our study, Apache Corporation is included in both control groups. The only other firm that is included in both control groups is Anadarko Petroleum Corporation. Devon Energy and Chesapeake Energy are examples of large firms in our sample that are included in both of the treated groups.</w:t>
      </w:r>
      <w:r w:rsidR="009F4DD9">
        <w:rPr>
          <w:rFonts w:ascii="Times New Roman" w:hAnsi="Times New Roman" w:cs="Times New Roman"/>
        </w:rPr>
        <w:t xml:space="preserve"> However, g</w:t>
      </w:r>
      <w:r w:rsidR="009F4DD9" w:rsidRPr="00B24964">
        <w:rPr>
          <w:rFonts w:ascii="Times New Roman" w:hAnsi="Times New Roman" w:cs="Times New Roman"/>
        </w:rPr>
        <w:t>enerally the two control groups do not have much intersection</w:t>
      </w:r>
      <w:r w:rsidR="009F4DD9">
        <w:rPr>
          <w:rFonts w:ascii="Times New Roman" w:hAnsi="Times New Roman" w:cs="Times New Roman"/>
        </w:rPr>
        <w:t xml:space="preserve"> and both include a mix of large and small companies. </w:t>
      </w:r>
    </w:p>
    <w:p w:rsidR="005A4611" w:rsidRPr="009F4DD9" w:rsidRDefault="0003403B" w:rsidP="005A4611">
      <w:pPr>
        <w:autoSpaceDE w:val="0"/>
        <w:autoSpaceDN w:val="0"/>
        <w:adjustRightInd w:val="0"/>
        <w:spacing w:after="120" w:line="480" w:lineRule="auto"/>
        <w:ind w:firstLine="720"/>
        <w:jc w:val="both"/>
        <w:rPr>
          <w:rFonts w:ascii="TimesNewRomanPSMT" w:hAnsi="TimesNewRomanPSMT" w:cs="TimesNewRomanPSMT"/>
          <w:color w:val="4F6228" w:themeColor="accent3" w:themeShade="80"/>
        </w:rPr>
      </w:pPr>
      <w:proofErr w:type="gramStart"/>
      <w:r w:rsidRPr="00DF7C25">
        <w:rPr>
          <w:rFonts w:ascii="TimesNewRomanPSMT" w:hAnsi="TimesNewRomanPSMT" w:cs="TimesNewRomanPSMT"/>
        </w:rPr>
        <w:t>Panels C and D compare the firm characteristics of the treated and control firms</w:t>
      </w:r>
      <w:r w:rsidR="009F4DD9">
        <w:rPr>
          <w:rFonts w:ascii="TimesNewRomanPSMT" w:hAnsi="TimesNewRomanPSMT" w:cs="TimesNewRomanPSMT"/>
        </w:rPr>
        <w:t xml:space="preserve"> in our study.</w:t>
      </w:r>
      <w:proofErr w:type="gramEnd"/>
      <w:r w:rsidR="009F4DD9">
        <w:rPr>
          <w:rFonts w:ascii="TimesNewRomanPSMT" w:hAnsi="TimesNewRomanPSMT" w:cs="TimesNewRomanPSMT"/>
        </w:rPr>
        <w:t xml:space="preserve"> Note that b</w:t>
      </w:r>
      <w:r>
        <w:rPr>
          <w:rFonts w:ascii="TimesNewRomanPSMT" w:hAnsi="TimesNewRomanPSMT" w:cs="TimesNewRomanPSMT"/>
        </w:rPr>
        <w:t xml:space="preserve">oth control groups are </w:t>
      </w:r>
      <w:r w:rsidRPr="00DF7C25">
        <w:rPr>
          <w:rFonts w:ascii="TimesNewRomanPSMT" w:hAnsi="TimesNewRomanPSMT" w:cs="TimesNewRomanPSMT"/>
        </w:rPr>
        <w:t>relatively small</w:t>
      </w:r>
      <w:r w:rsidR="006A08EB">
        <w:rPr>
          <w:rFonts w:ascii="TimesNewRomanPSMT" w:hAnsi="TimesNewRomanPSMT" w:cs="TimesNewRomanPSMT"/>
        </w:rPr>
        <w:t>, but still give us enough observations and power to get significant results</w:t>
      </w:r>
      <w:r w:rsidRPr="00DF7C25">
        <w:rPr>
          <w:rFonts w:ascii="TimesNewRomanPSMT" w:hAnsi="TimesNewRomanPSMT" w:cs="TimesNewRomanPSMT"/>
        </w:rPr>
        <w:t xml:space="preserve">. </w:t>
      </w:r>
      <w:r w:rsidR="006A08EB">
        <w:rPr>
          <w:rFonts w:ascii="TimesNewRomanPSMT" w:hAnsi="TimesNewRomanPSMT" w:cs="TimesNewRomanPSMT"/>
        </w:rPr>
        <w:t xml:space="preserve">An </w:t>
      </w:r>
      <w:r w:rsidR="009F4DD9" w:rsidRPr="009F4DD9">
        <w:rPr>
          <w:rFonts w:ascii="TimesNewRomanPSMT" w:hAnsi="TimesNewRomanPSMT" w:cs="TimesNewRomanPSMT"/>
        </w:rPr>
        <w:t>important observation is that</w:t>
      </w:r>
      <w:r w:rsidR="009F4DD9">
        <w:rPr>
          <w:rFonts w:ascii="TimesNewRomanPSMT" w:hAnsi="TimesNewRomanPSMT" w:cs="TimesNewRomanPSMT"/>
        </w:rPr>
        <w:t xml:space="preserve"> treated and control groups are relatively similar. We do a paired t-test to test for differences in means between the two groups and find only a few differences at the ten-percent level. </w:t>
      </w:r>
      <w:r w:rsidR="006A08EB">
        <w:rPr>
          <w:rFonts w:ascii="TimesNewRomanPSMT" w:hAnsi="TimesNewRomanPSMT" w:cs="TimesNewRomanPSMT"/>
        </w:rPr>
        <w:t xml:space="preserve">The most striking difference in firm characteristics between the two groups is the </w:t>
      </w:r>
      <w:r w:rsidR="006A08EB">
        <w:rPr>
          <w:rFonts w:ascii="TimesNewRomanPSMT" w:hAnsi="TimesNewRomanPSMT" w:cs="TimesNewRomanPSMT"/>
        </w:rPr>
        <w:lastRenderedPageBreak/>
        <w:t xml:space="preserve">difference in </w:t>
      </w:r>
      <w:proofErr w:type="spellStart"/>
      <w:proofErr w:type="gramStart"/>
      <w:r w:rsidR="006A08EB">
        <w:rPr>
          <w:rFonts w:ascii="TimesNewRomanPSMT" w:hAnsi="TimesNewRomanPSMT" w:cs="TimesNewRomanPSMT"/>
        </w:rPr>
        <w:t>vega</w:t>
      </w:r>
      <w:proofErr w:type="spellEnd"/>
      <w:proofErr w:type="gramEnd"/>
      <w:r w:rsidR="006A08EB">
        <w:rPr>
          <w:rFonts w:ascii="TimesNewRomanPSMT" w:hAnsi="TimesNewRomanPSMT" w:cs="TimesNewRomanPSMT"/>
        </w:rPr>
        <w:t xml:space="preserve"> for the first control and treated group comparison. This is by construction as firms in the first control group are required to have no CEO option pay in the pre-treatment period which results in a lower CEO </w:t>
      </w:r>
      <w:proofErr w:type="spellStart"/>
      <w:proofErr w:type="gramStart"/>
      <w:r w:rsidR="006A08EB">
        <w:rPr>
          <w:rFonts w:ascii="TimesNewRomanPSMT" w:hAnsi="TimesNewRomanPSMT" w:cs="TimesNewRomanPSMT"/>
        </w:rPr>
        <w:t>vega</w:t>
      </w:r>
      <w:proofErr w:type="spellEnd"/>
      <w:proofErr w:type="gramEnd"/>
      <w:r w:rsidR="006A08EB">
        <w:rPr>
          <w:rFonts w:ascii="TimesNewRomanPSMT" w:hAnsi="TimesNewRomanPSMT" w:cs="TimesNewRomanPSMT"/>
        </w:rPr>
        <w:t>. Other notable differences are</w:t>
      </w:r>
      <w:r w:rsidR="006D73D4">
        <w:rPr>
          <w:rFonts w:ascii="TimesNewRomanPSMT" w:hAnsi="TimesNewRomanPSMT" w:cs="TimesNewRomanPSMT"/>
        </w:rPr>
        <w:t xml:space="preserve"> that c</w:t>
      </w:r>
      <w:r w:rsidR="009F4DD9">
        <w:rPr>
          <w:rFonts w:ascii="TimesNewRomanPSMT" w:hAnsi="TimesNewRomanPSMT" w:cs="TimesNewRomanPSMT"/>
        </w:rPr>
        <w:t>ontrol firms are a bit bigger than treated firms</w:t>
      </w:r>
      <w:r w:rsidR="006A08EB">
        <w:rPr>
          <w:rFonts w:ascii="TimesNewRomanPSMT" w:hAnsi="TimesNewRomanPSMT" w:cs="TimesNewRomanPSMT"/>
        </w:rPr>
        <w:t>, and that we</w:t>
      </w:r>
      <w:r w:rsidR="009F4DD9">
        <w:rPr>
          <w:rFonts w:ascii="TimesNewRomanPSMT" w:hAnsi="TimesNewRomanPSMT" w:cs="TimesNewRomanPSMT"/>
        </w:rPr>
        <w:t xml:space="preserve"> observe some differences in Altman Z</w:t>
      </w:r>
      <w:r w:rsidR="00A9371B">
        <w:rPr>
          <w:rFonts w:ascii="TimesNewRomanPSMT" w:hAnsi="TimesNewRomanPSMT" w:cs="TimesNewRomanPSMT"/>
        </w:rPr>
        <w:t>, cash</w:t>
      </w:r>
      <w:r w:rsidR="009F4DD9">
        <w:rPr>
          <w:rFonts w:ascii="TimesNewRomanPSMT" w:hAnsi="TimesNewRomanPSMT" w:cs="TimesNewRomanPSMT"/>
        </w:rPr>
        <w:t xml:space="preserve"> and leverage.</w:t>
      </w:r>
      <w:r w:rsidR="00E70F1C">
        <w:rPr>
          <w:rStyle w:val="FootnoteReference"/>
          <w:rFonts w:ascii="TimesNewRomanPSMT" w:hAnsi="TimesNewRomanPSMT" w:cs="TimesNewRomanPSMT"/>
        </w:rPr>
        <w:footnoteReference w:id="18"/>
      </w:r>
      <w:r w:rsidR="009F4DD9" w:rsidRPr="009F4DD9">
        <w:rPr>
          <w:rFonts w:ascii="TimesNewRomanPSMT" w:hAnsi="TimesNewRomanPSMT" w:cs="TimesNewRomanPSMT"/>
        </w:rPr>
        <w:t xml:space="preserve"> </w:t>
      </w:r>
      <w:r w:rsidR="009F4DD9">
        <w:rPr>
          <w:rFonts w:ascii="TimesNewRomanPSMT" w:hAnsi="TimesNewRomanPSMT" w:cs="TimesNewRomanPSMT"/>
        </w:rPr>
        <w:t>Overall this is comforting, because – as we</w:t>
      </w:r>
      <w:r w:rsidR="005E41DA">
        <w:rPr>
          <w:rFonts w:ascii="TimesNewRomanPSMT" w:hAnsi="TimesNewRomanPSMT" w:cs="TimesNewRomanPSMT"/>
        </w:rPr>
        <w:t xml:space="preserve"> elaborate</w:t>
      </w:r>
      <w:r w:rsidR="009F4DD9">
        <w:rPr>
          <w:rFonts w:ascii="TimesNewRomanPSMT" w:hAnsi="TimesNewRomanPSMT" w:cs="TimesNewRomanPSMT"/>
        </w:rPr>
        <w:t xml:space="preserve"> later – </w:t>
      </w:r>
      <w:r w:rsidR="006D73D4">
        <w:rPr>
          <w:rFonts w:ascii="TimesNewRomanPSMT" w:hAnsi="TimesNewRomanPSMT" w:cs="TimesNewRomanPSMT"/>
        </w:rPr>
        <w:t>the fact that the two groups are similar</w:t>
      </w:r>
      <w:r w:rsidR="009F4DD9">
        <w:rPr>
          <w:rFonts w:ascii="TimesNewRomanPSMT" w:hAnsi="TimesNewRomanPSMT" w:cs="TimesNewRomanPSMT"/>
        </w:rPr>
        <w:t xml:space="preserve"> makes it less likely that unobserved difference</w:t>
      </w:r>
      <w:r w:rsidR="004C6901">
        <w:rPr>
          <w:rFonts w:ascii="TimesNewRomanPSMT" w:hAnsi="TimesNewRomanPSMT" w:cs="TimesNewRomanPSMT"/>
        </w:rPr>
        <w:t>s</w:t>
      </w:r>
      <w:r w:rsidR="009F4DD9">
        <w:rPr>
          <w:rFonts w:ascii="TimesNewRomanPSMT" w:hAnsi="TimesNewRomanPSMT" w:cs="TimesNewRomanPSMT"/>
        </w:rPr>
        <w:t xml:space="preserve"> between the groups </w:t>
      </w:r>
      <w:r w:rsidR="004C6901">
        <w:rPr>
          <w:rFonts w:ascii="TimesNewRomanPSMT" w:hAnsi="TimesNewRomanPSMT" w:cs="TimesNewRomanPSMT"/>
        </w:rPr>
        <w:t xml:space="preserve">are </w:t>
      </w:r>
      <w:r w:rsidR="009F4DD9">
        <w:rPr>
          <w:rFonts w:ascii="TimesNewRomanPSMT" w:hAnsi="TimesNewRomanPSMT" w:cs="TimesNewRomanPSMT"/>
        </w:rPr>
        <w:t>driving our results.</w:t>
      </w:r>
      <w:r w:rsidR="006A08EB">
        <w:rPr>
          <w:rStyle w:val="FootnoteReference"/>
          <w:rFonts w:ascii="TimesNewRomanPSMT" w:hAnsi="TimesNewRomanPSMT" w:cs="TimesNewRomanPSMT"/>
        </w:rPr>
        <w:footnoteReference w:id="19"/>
      </w:r>
      <w:r w:rsidR="009F4DD9">
        <w:rPr>
          <w:rFonts w:ascii="TimesNewRomanPSMT" w:hAnsi="TimesNewRomanPSMT" w:cs="TimesNewRomanPSMT"/>
        </w:rPr>
        <w:t xml:space="preserve"> </w:t>
      </w:r>
    </w:p>
    <w:p w:rsidR="00CF7165" w:rsidRDefault="00F2690E" w:rsidP="00CF7165">
      <w:pPr>
        <w:autoSpaceDE w:val="0"/>
        <w:autoSpaceDN w:val="0"/>
        <w:adjustRightInd w:val="0"/>
        <w:spacing w:after="120" w:line="480" w:lineRule="auto"/>
        <w:ind w:firstLine="720"/>
        <w:jc w:val="both"/>
        <w:rPr>
          <w:rFonts w:ascii="Times New Roman" w:eastAsia="Times New Roman" w:hAnsi="Times New Roman" w:cs="Times New Roman"/>
        </w:rPr>
      </w:pPr>
      <w:r>
        <w:rPr>
          <w:rFonts w:ascii="Times New Roman" w:hAnsi="Times New Roman" w:cs="Times New Roman"/>
        </w:rPr>
        <w:t xml:space="preserve">We now turn to </w:t>
      </w:r>
      <w:r w:rsidR="004C6901">
        <w:rPr>
          <w:rFonts w:ascii="Times New Roman" w:hAnsi="Times New Roman" w:cs="Times New Roman"/>
        </w:rPr>
        <w:t xml:space="preserve">investigate </w:t>
      </w:r>
      <w:r w:rsidR="00477172">
        <w:rPr>
          <w:rFonts w:ascii="Times New Roman" w:hAnsi="Times New Roman" w:cs="Times New Roman"/>
        </w:rPr>
        <w:t xml:space="preserve">the impact of FAS 123R on executive compensation. </w:t>
      </w:r>
      <w:r w:rsidR="00CF7165">
        <w:rPr>
          <w:rFonts w:ascii="Times New Roman" w:eastAsia="Times New Roman" w:hAnsi="Times New Roman" w:cs="Times New Roman"/>
        </w:rPr>
        <w:t>In our analysis we</w:t>
      </w:r>
      <w:r w:rsidR="00CF7165" w:rsidRPr="00B24964">
        <w:rPr>
          <w:rFonts w:ascii="Times New Roman" w:eastAsia="Times New Roman" w:hAnsi="Times New Roman" w:cs="Times New Roman"/>
        </w:rPr>
        <w:t xml:space="preserve"> focus on a short window (two years in both the pre and post-event periods) around the implementation of FAS 123R. The advantage of a short window is to improve</w:t>
      </w:r>
      <w:r w:rsidR="00CF7165">
        <w:rPr>
          <w:rFonts w:ascii="Times New Roman" w:eastAsia="Times New Roman" w:hAnsi="Times New Roman" w:cs="Times New Roman"/>
        </w:rPr>
        <w:t xml:space="preserve"> the validity of our empirical strategy by guarding against spurious correlations that may be induced by other events that may differentially affect the hedging decisions of our treated and control firms. In addition, the use of a short window makes our study less subject to having biased standard errors due to the presence of serial correlation in our data (see Be</w:t>
      </w:r>
      <w:r w:rsidR="005E41DA">
        <w:rPr>
          <w:rFonts w:ascii="Times New Roman" w:eastAsia="Times New Roman" w:hAnsi="Times New Roman" w:cs="Times New Roman"/>
        </w:rPr>
        <w:t>r</w:t>
      </w:r>
      <w:r w:rsidR="00CF7165">
        <w:rPr>
          <w:rFonts w:ascii="Times New Roman" w:eastAsia="Times New Roman" w:hAnsi="Times New Roman" w:cs="Times New Roman"/>
        </w:rPr>
        <w:t xml:space="preserve">trand, </w:t>
      </w:r>
      <w:proofErr w:type="spellStart"/>
      <w:r w:rsidR="00CF7165">
        <w:rPr>
          <w:rFonts w:ascii="Times New Roman" w:eastAsia="Times New Roman" w:hAnsi="Times New Roman" w:cs="Times New Roman"/>
        </w:rPr>
        <w:t>Duflo</w:t>
      </w:r>
      <w:proofErr w:type="spellEnd"/>
      <w:r w:rsidR="00CF7165">
        <w:rPr>
          <w:rFonts w:ascii="Times New Roman" w:eastAsia="Times New Roman" w:hAnsi="Times New Roman" w:cs="Times New Roman"/>
        </w:rPr>
        <w:t xml:space="preserve"> and </w:t>
      </w:r>
      <w:proofErr w:type="spellStart"/>
      <w:r w:rsidR="00CF7165">
        <w:rPr>
          <w:rFonts w:ascii="Times New Roman" w:eastAsia="Times New Roman" w:hAnsi="Times New Roman" w:cs="Times New Roman"/>
        </w:rPr>
        <w:t>Mullainathan</w:t>
      </w:r>
      <w:proofErr w:type="spellEnd"/>
      <w:r w:rsidR="006442E9">
        <w:rPr>
          <w:rFonts w:ascii="Times New Roman" w:eastAsia="Times New Roman" w:hAnsi="Times New Roman" w:cs="Times New Roman"/>
        </w:rPr>
        <w:t>,</w:t>
      </w:r>
      <w:r w:rsidR="00CF7165">
        <w:rPr>
          <w:rFonts w:ascii="Times New Roman" w:eastAsia="Times New Roman" w:hAnsi="Times New Roman" w:cs="Times New Roman"/>
        </w:rPr>
        <w:t xml:space="preserve"> 2004</w:t>
      </w:r>
      <w:r w:rsidR="00A7118B">
        <w:rPr>
          <w:rFonts w:ascii="Times New Roman" w:eastAsia="Times New Roman" w:hAnsi="Times New Roman" w:cs="Times New Roman"/>
        </w:rPr>
        <w:t>)</w:t>
      </w:r>
      <w:r w:rsidR="00CF7165">
        <w:rPr>
          <w:rFonts w:ascii="Times New Roman" w:eastAsia="Times New Roman" w:hAnsi="Times New Roman" w:cs="Times New Roman"/>
        </w:rPr>
        <w:t>. Moreover, the short window should be sufficient to capture the major effects of FAS 123R on hedging decisions as hedging reacts fairly quickly to new developments.</w:t>
      </w:r>
      <w:r w:rsidR="00CF7165">
        <w:rPr>
          <w:rStyle w:val="FootnoteReference"/>
          <w:rFonts w:ascii="Times New Roman" w:eastAsia="Times New Roman" w:hAnsi="Times New Roman" w:cs="Times New Roman"/>
        </w:rPr>
        <w:footnoteReference w:id="20"/>
      </w:r>
      <w:r w:rsidR="00CF7165">
        <w:rPr>
          <w:rFonts w:ascii="Times New Roman" w:eastAsia="Times New Roman" w:hAnsi="Times New Roman" w:cs="Times New Roman"/>
        </w:rPr>
        <w:t xml:space="preserve">  </w:t>
      </w:r>
    </w:p>
    <w:p w:rsidR="00270BEB" w:rsidRDefault="00270BEB" w:rsidP="00270BEB">
      <w:pPr>
        <w:pStyle w:val="ListParagraph"/>
        <w:widowControl w:val="0"/>
        <w:autoSpaceDE w:val="0"/>
        <w:autoSpaceDN w:val="0"/>
        <w:adjustRightInd w:val="0"/>
        <w:spacing w:after="0" w:line="480" w:lineRule="auto"/>
        <w:ind w:left="0"/>
        <w:jc w:val="center"/>
        <w:rPr>
          <w:rFonts w:ascii="Times New Roman" w:hAnsi="Times New Roman" w:cs="Times New Roman"/>
        </w:rPr>
      </w:pPr>
      <w:r>
        <w:rPr>
          <w:rFonts w:ascii="Times New Roman" w:hAnsi="Times New Roman" w:cs="Times New Roman"/>
        </w:rPr>
        <w:t>[Insert Figure 1 here]</w:t>
      </w:r>
    </w:p>
    <w:p w:rsidR="00D54BDC" w:rsidRDefault="00CF7165" w:rsidP="002D6154">
      <w:pPr>
        <w:pStyle w:val="ListParagraph"/>
        <w:widowControl w:val="0"/>
        <w:autoSpaceDE w:val="0"/>
        <w:autoSpaceDN w:val="0"/>
        <w:adjustRightInd w:val="0"/>
        <w:spacing w:after="0" w:line="480" w:lineRule="auto"/>
        <w:ind w:left="0"/>
        <w:jc w:val="both"/>
        <w:rPr>
          <w:rFonts w:ascii="Times New Roman" w:hAnsi="Times New Roman" w:cs="Times New Roman"/>
        </w:rPr>
      </w:pPr>
      <w:r>
        <w:rPr>
          <w:rFonts w:ascii="Times New Roman" w:hAnsi="Times New Roman" w:cs="Times New Roman"/>
        </w:rPr>
        <w:tab/>
      </w:r>
      <w:r w:rsidR="00DD1262">
        <w:rPr>
          <w:rFonts w:ascii="Times New Roman" w:hAnsi="Times New Roman" w:cs="Times New Roman"/>
        </w:rPr>
        <w:t xml:space="preserve">Consistent with the finding of Hayes, Lemmon and </w:t>
      </w:r>
      <w:proofErr w:type="spellStart"/>
      <w:r w:rsidR="00DD1262">
        <w:rPr>
          <w:rFonts w:ascii="Times New Roman" w:hAnsi="Times New Roman" w:cs="Times New Roman"/>
        </w:rPr>
        <w:t>Qiu</w:t>
      </w:r>
      <w:proofErr w:type="spellEnd"/>
      <w:r w:rsidR="00DD1262">
        <w:rPr>
          <w:rFonts w:ascii="Times New Roman" w:hAnsi="Times New Roman" w:cs="Times New Roman"/>
        </w:rPr>
        <w:t xml:space="preserve"> (2012)</w:t>
      </w:r>
      <w:r w:rsidR="00477172">
        <w:rPr>
          <w:rFonts w:ascii="Times New Roman" w:hAnsi="Times New Roman" w:cs="Times New Roman"/>
        </w:rPr>
        <w:t xml:space="preserve"> </w:t>
      </w:r>
      <w:r w:rsidR="00DD1262">
        <w:rPr>
          <w:rFonts w:ascii="Times New Roman" w:hAnsi="Times New Roman" w:cs="Times New Roman"/>
        </w:rPr>
        <w:t xml:space="preserve">the ratio of option pay to total pay as well as the </w:t>
      </w:r>
      <w:r w:rsidR="00477172">
        <w:rPr>
          <w:rFonts w:ascii="Times New Roman" w:hAnsi="Times New Roman" w:cs="Times New Roman"/>
        </w:rPr>
        <w:t>convexity (</w:t>
      </w:r>
      <w:proofErr w:type="spellStart"/>
      <w:r w:rsidR="00DD1262">
        <w:rPr>
          <w:rFonts w:ascii="Times New Roman" w:hAnsi="Times New Roman" w:cs="Times New Roman"/>
        </w:rPr>
        <w:t>vega</w:t>
      </w:r>
      <w:proofErr w:type="spellEnd"/>
      <w:r w:rsidR="00DD1262">
        <w:rPr>
          <w:rFonts w:ascii="Times New Roman" w:hAnsi="Times New Roman" w:cs="Times New Roman"/>
        </w:rPr>
        <w:t>) decline</w:t>
      </w:r>
      <w:r w:rsidR="00AB1741" w:rsidRPr="00DF7C25">
        <w:rPr>
          <w:rFonts w:ascii="Times New Roman" w:hAnsi="Times New Roman" w:cs="Times New Roman"/>
        </w:rPr>
        <w:t xml:space="preserve"> following the ado</w:t>
      </w:r>
      <w:r w:rsidR="00477172" w:rsidRPr="00DF7C25">
        <w:rPr>
          <w:rFonts w:ascii="Times New Roman" w:hAnsi="Times New Roman" w:cs="Times New Roman"/>
        </w:rPr>
        <w:t>ption of FAS 123R while pay-performance sensitivity (delta) increases</w:t>
      </w:r>
      <w:r w:rsidR="00DD1262">
        <w:rPr>
          <w:rFonts w:ascii="Times New Roman" w:hAnsi="Times New Roman" w:cs="Times New Roman"/>
        </w:rPr>
        <w:t xml:space="preserve"> (see Table 1: Panel B)</w:t>
      </w:r>
      <w:r w:rsidR="00477172" w:rsidRPr="00DF7C25">
        <w:rPr>
          <w:rFonts w:ascii="Times New Roman" w:hAnsi="Times New Roman" w:cs="Times New Roman"/>
        </w:rPr>
        <w:t xml:space="preserve">. </w:t>
      </w:r>
      <w:r w:rsidR="004674B0" w:rsidRPr="00DF7C25">
        <w:rPr>
          <w:rFonts w:ascii="Times New Roman" w:hAnsi="Times New Roman" w:cs="Times New Roman"/>
        </w:rPr>
        <w:t xml:space="preserve">The reduction in </w:t>
      </w:r>
      <w:proofErr w:type="spellStart"/>
      <w:proofErr w:type="gramStart"/>
      <w:r w:rsidR="004674B0" w:rsidRPr="00DF7C25">
        <w:rPr>
          <w:rFonts w:ascii="Times New Roman" w:hAnsi="Times New Roman" w:cs="Times New Roman"/>
        </w:rPr>
        <w:t>vega</w:t>
      </w:r>
      <w:proofErr w:type="spellEnd"/>
      <w:proofErr w:type="gramEnd"/>
      <w:r w:rsidR="004674B0" w:rsidRPr="00DF7C25">
        <w:rPr>
          <w:rFonts w:ascii="Times New Roman" w:hAnsi="Times New Roman" w:cs="Times New Roman"/>
        </w:rPr>
        <w:t xml:space="preserve"> is</w:t>
      </w:r>
      <w:r w:rsidR="00477172" w:rsidRPr="00DF7C25">
        <w:rPr>
          <w:rFonts w:ascii="Times New Roman" w:hAnsi="Times New Roman" w:cs="Times New Roman"/>
        </w:rPr>
        <w:t xml:space="preserve"> predicted as </w:t>
      </w:r>
      <w:r w:rsidR="00033CDC" w:rsidRPr="00DF7C25">
        <w:rPr>
          <w:rFonts w:ascii="Times New Roman" w:hAnsi="Times New Roman" w:cs="Times New Roman"/>
        </w:rPr>
        <w:t xml:space="preserve">FAS 123R made option pay less favorable. Thus, it is not surprising to see firms cut back on options (reducing </w:t>
      </w:r>
      <w:proofErr w:type="spellStart"/>
      <w:proofErr w:type="gramStart"/>
      <w:r w:rsidR="00033CDC" w:rsidRPr="00DF7C25">
        <w:rPr>
          <w:rFonts w:ascii="Times New Roman" w:hAnsi="Times New Roman" w:cs="Times New Roman"/>
        </w:rPr>
        <w:t>vega</w:t>
      </w:r>
      <w:proofErr w:type="spellEnd"/>
      <w:proofErr w:type="gramEnd"/>
      <w:r w:rsidR="00033CDC" w:rsidRPr="00DF7C25">
        <w:rPr>
          <w:rFonts w:ascii="Times New Roman" w:hAnsi="Times New Roman" w:cs="Times New Roman"/>
        </w:rPr>
        <w:t>)</w:t>
      </w:r>
      <w:r w:rsidR="004674B0" w:rsidRPr="00DF7C25">
        <w:rPr>
          <w:rFonts w:ascii="Times New Roman" w:hAnsi="Times New Roman" w:cs="Times New Roman"/>
        </w:rPr>
        <w:t xml:space="preserve">. </w:t>
      </w:r>
      <w:r w:rsidR="004674B0" w:rsidRPr="00DF7C25">
        <w:rPr>
          <w:rFonts w:ascii="Times New Roman" w:hAnsi="Times New Roman" w:cs="Times New Roman"/>
        </w:rPr>
        <w:lastRenderedPageBreak/>
        <w:t>However, firms substituted options with other forms of performance</w:t>
      </w:r>
      <w:r w:rsidR="00033CDC" w:rsidRPr="00DF7C25">
        <w:rPr>
          <w:rFonts w:ascii="Times New Roman" w:hAnsi="Times New Roman" w:cs="Times New Roman"/>
        </w:rPr>
        <w:t>-based pay</w:t>
      </w:r>
      <w:r w:rsidR="004674B0" w:rsidRPr="00DF7C25">
        <w:rPr>
          <w:rFonts w:ascii="Times New Roman" w:hAnsi="Times New Roman" w:cs="Times New Roman"/>
        </w:rPr>
        <w:t xml:space="preserve"> that resulted in higher deltas post FAS 123R</w:t>
      </w:r>
      <w:r w:rsidR="00033CDC" w:rsidRPr="00DF7C25">
        <w:rPr>
          <w:rFonts w:ascii="Times New Roman" w:hAnsi="Times New Roman" w:cs="Times New Roman"/>
        </w:rPr>
        <w:t>.</w:t>
      </w:r>
      <w:r w:rsidR="00033CDC" w:rsidRPr="004674B0">
        <w:rPr>
          <w:rFonts w:ascii="Times New Roman" w:hAnsi="Times New Roman" w:cs="Times New Roman"/>
          <w:color w:val="4F6228" w:themeColor="accent3" w:themeShade="80"/>
        </w:rPr>
        <w:t xml:space="preserve"> </w:t>
      </w:r>
      <w:r w:rsidR="00033CDC">
        <w:rPr>
          <w:rFonts w:ascii="Times New Roman" w:hAnsi="Times New Roman" w:cs="Times New Roman"/>
        </w:rPr>
        <w:t>To study this more carefully we do difference</w:t>
      </w:r>
      <w:r w:rsidR="00A41F5E">
        <w:rPr>
          <w:rFonts w:ascii="Times New Roman" w:hAnsi="Times New Roman" w:cs="Times New Roman"/>
        </w:rPr>
        <w:t>s</w:t>
      </w:r>
      <w:r w:rsidR="00033CDC">
        <w:rPr>
          <w:rFonts w:ascii="Times New Roman" w:hAnsi="Times New Roman" w:cs="Times New Roman"/>
        </w:rPr>
        <w:t xml:space="preserve">-in-differences </w:t>
      </w:r>
      <w:r w:rsidR="00D54BDC">
        <w:rPr>
          <w:rFonts w:ascii="Times New Roman" w:hAnsi="Times New Roman" w:cs="Times New Roman"/>
        </w:rPr>
        <w:t xml:space="preserve">(DID) </w:t>
      </w:r>
      <w:r w:rsidR="00033CDC">
        <w:rPr>
          <w:rFonts w:ascii="Times New Roman" w:hAnsi="Times New Roman" w:cs="Times New Roman"/>
        </w:rPr>
        <w:t>regressions with</w:t>
      </w:r>
      <w:r w:rsidR="002055D8">
        <w:rPr>
          <w:rFonts w:ascii="Times New Roman" w:hAnsi="Times New Roman" w:cs="Times New Roman"/>
        </w:rPr>
        <w:t xml:space="preserve"> CEO</w:t>
      </w:r>
      <w:r w:rsidR="00033CDC">
        <w:rPr>
          <w:rFonts w:ascii="Times New Roman" w:hAnsi="Times New Roman" w:cs="Times New Roman"/>
        </w:rPr>
        <w:t xml:space="preserve"> </w:t>
      </w:r>
      <w:proofErr w:type="spellStart"/>
      <w:proofErr w:type="gramStart"/>
      <w:r w:rsidR="00033CDC">
        <w:rPr>
          <w:rFonts w:ascii="Times New Roman" w:hAnsi="Times New Roman" w:cs="Times New Roman"/>
        </w:rPr>
        <w:t>vega</w:t>
      </w:r>
      <w:proofErr w:type="spellEnd"/>
      <w:proofErr w:type="gramEnd"/>
      <w:r w:rsidR="00033CDC">
        <w:rPr>
          <w:rFonts w:ascii="Times New Roman" w:hAnsi="Times New Roman" w:cs="Times New Roman"/>
        </w:rPr>
        <w:t xml:space="preserve"> and delta on the left-hand side (see Table 2).</w:t>
      </w:r>
      <w:r w:rsidR="009D6443">
        <w:rPr>
          <w:rStyle w:val="FootnoteReference"/>
          <w:rFonts w:ascii="Times New Roman" w:hAnsi="Times New Roman" w:cs="Times New Roman"/>
        </w:rPr>
        <w:footnoteReference w:id="21"/>
      </w:r>
      <w:r w:rsidR="00033CDC">
        <w:rPr>
          <w:rFonts w:ascii="Times New Roman" w:hAnsi="Times New Roman" w:cs="Times New Roman"/>
        </w:rPr>
        <w:t xml:space="preserve"> The results suggest that </w:t>
      </w:r>
      <w:r w:rsidR="00D54BDC">
        <w:rPr>
          <w:rFonts w:ascii="Times New Roman" w:hAnsi="Times New Roman" w:cs="Times New Roman"/>
        </w:rPr>
        <w:t>for</w:t>
      </w:r>
      <w:r w:rsidR="00033CDC">
        <w:rPr>
          <w:rFonts w:ascii="Times New Roman" w:hAnsi="Times New Roman" w:cs="Times New Roman"/>
        </w:rPr>
        <w:t xml:space="preserve"> both control groups, FAS 123R induced declines in </w:t>
      </w:r>
      <w:r w:rsidR="002055D8">
        <w:rPr>
          <w:rFonts w:ascii="Times New Roman" w:hAnsi="Times New Roman" w:cs="Times New Roman"/>
        </w:rPr>
        <w:t xml:space="preserve">CEO </w:t>
      </w:r>
      <w:proofErr w:type="spellStart"/>
      <w:proofErr w:type="gramStart"/>
      <w:r w:rsidR="00EF4860">
        <w:rPr>
          <w:rFonts w:ascii="Times New Roman" w:hAnsi="Times New Roman" w:cs="Times New Roman"/>
        </w:rPr>
        <w:t>vega</w:t>
      </w:r>
      <w:proofErr w:type="spellEnd"/>
      <w:proofErr w:type="gramEnd"/>
      <w:r w:rsidR="00204D96">
        <w:rPr>
          <w:rFonts w:ascii="Times New Roman" w:hAnsi="Times New Roman" w:cs="Times New Roman"/>
        </w:rPr>
        <w:t xml:space="preserve"> (see </w:t>
      </w:r>
      <w:r w:rsidR="00182BFA">
        <w:rPr>
          <w:rFonts w:ascii="Times New Roman" w:hAnsi="Times New Roman" w:cs="Times New Roman"/>
        </w:rPr>
        <w:t xml:space="preserve">the first </w:t>
      </w:r>
      <w:r w:rsidR="00132942">
        <w:rPr>
          <w:rFonts w:ascii="Times New Roman" w:hAnsi="Times New Roman" w:cs="Times New Roman"/>
        </w:rPr>
        <w:t>panel</w:t>
      </w:r>
      <w:r w:rsidR="00182BFA">
        <w:rPr>
          <w:rFonts w:ascii="Times New Roman" w:hAnsi="Times New Roman" w:cs="Times New Roman"/>
        </w:rPr>
        <w:t xml:space="preserve"> of </w:t>
      </w:r>
      <w:r w:rsidR="00204D96">
        <w:rPr>
          <w:rFonts w:ascii="Times New Roman" w:hAnsi="Times New Roman" w:cs="Times New Roman"/>
        </w:rPr>
        <w:t>Figure 1 for an illustration)</w:t>
      </w:r>
      <w:r w:rsidR="00033CDC">
        <w:rPr>
          <w:rFonts w:ascii="Times New Roman" w:hAnsi="Times New Roman" w:cs="Times New Roman"/>
        </w:rPr>
        <w:t>.</w:t>
      </w:r>
      <w:r w:rsidR="00FD2081">
        <w:rPr>
          <w:rStyle w:val="FootnoteReference"/>
          <w:rFonts w:ascii="Times New Roman" w:hAnsi="Times New Roman" w:cs="Times New Roman"/>
        </w:rPr>
        <w:footnoteReference w:id="22"/>
      </w:r>
      <w:r w:rsidR="00033CDC">
        <w:rPr>
          <w:rFonts w:ascii="Times New Roman" w:hAnsi="Times New Roman" w:cs="Times New Roman"/>
        </w:rPr>
        <w:t xml:space="preserve"> These results</w:t>
      </w:r>
      <w:r w:rsidR="00477172">
        <w:rPr>
          <w:rFonts w:ascii="Times New Roman" w:hAnsi="Times New Roman" w:cs="Times New Roman"/>
        </w:rPr>
        <w:t xml:space="preserve"> are comforting as it confirms that our natural experiment operates primarily through a large negative shock to </w:t>
      </w:r>
      <w:proofErr w:type="spellStart"/>
      <w:proofErr w:type="gramStart"/>
      <w:r w:rsidR="00477172">
        <w:rPr>
          <w:rFonts w:ascii="Times New Roman" w:hAnsi="Times New Roman" w:cs="Times New Roman"/>
        </w:rPr>
        <w:t>vega</w:t>
      </w:r>
      <w:proofErr w:type="spellEnd"/>
      <w:proofErr w:type="gramEnd"/>
      <w:r w:rsidR="00477172">
        <w:rPr>
          <w:rFonts w:ascii="Times New Roman" w:hAnsi="Times New Roman" w:cs="Times New Roman"/>
        </w:rPr>
        <w:t xml:space="preserve">. </w:t>
      </w:r>
      <w:r w:rsidR="00034D23">
        <w:rPr>
          <w:rFonts w:ascii="Times New Roman" w:hAnsi="Times New Roman" w:cs="Times New Roman"/>
        </w:rPr>
        <w:t xml:space="preserve">As we can see in </w:t>
      </w:r>
      <w:r w:rsidR="00182BFA">
        <w:rPr>
          <w:rFonts w:ascii="Times New Roman" w:hAnsi="Times New Roman" w:cs="Times New Roman"/>
        </w:rPr>
        <w:t>second pa</w:t>
      </w:r>
      <w:r w:rsidR="00132942">
        <w:rPr>
          <w:rFonts w:ascii="Times New Roman" w:hAnsi="Times New Roman" w:cs="Times New Roman"/>
        </w:rPr>
        <w:t>nel</w:t>
      </w:r>
      <w:r w:rsidR="00182BFA">
        <w:rPr>
          <w:rFonts w:ascii="Times New Roman" w:hAnsi="Times New Roman" w:cs="Times New Roman"/>
        </w:rPr>
        <w:t xml:space="preserve"> of </w:t>
      </w:r>
      <w:r w:rsidR="00034D23">
        <w:rPr>
          <w:rFonts w:ascii="Times New Roman" w:hAnsi="Times New Roman" w:cs="Times New Roman"/>
        </w:rPr>
        <w:t xml:space="preserve">Figure 1 this negative shock to </w:t>
      </w:r>
      <w:proofErr w:type="spellStart"/>
      <w:proofErr w:type="gramStart"/>
      <w:r w:rsidR="00034D23">
        <w:rPr>
          <w:rFonts w:ascii="Times New Roman" w:hAnsi="Times New Roman" w:cs="Times New Roman"/>
        </w:rPr>
        <w:t>vega</w:t>
      </w:r>
      <w:proofErr w:type="spellEnd"/>
      <w:proofErr w:type="gramEnd"/>
      <w:r w:rsidR="00034D23">
        <w:rPr>
          <w:rFonts w:ascii="Times New Roman" w:hAnsi="Times New Roman" w:cs="Times New Roman"/>
        </w:rPr>
        <w:t xml:space="preserve"> is induced by declines in option pay ratios for treated firms. These results also underscore</w:t>
      </w:r>
      <w:r w:rsidR="00D54BDC">
        <w:rPr>
          <w:rFonts w:ascii="Times New Roman" w:hAnsi="Times New Roman" w:cs="Times New Roman"/>
        </w:rPr>
        <w:t xml:space="preserve"> that despite our small sample our DID technique has enough power to uncover significant effects of the policy change. On the other hand the shock has little effect on delta. This insignificant result indicates </w:t>
      </w:r>
      <w:r w:rsidR="00D54BDC" w:rsidRPr="00034D23">
        <w:rPr>
          <w:rFonts w:ascii="Times New Roman" w:hAnsi="Times New Roman" w:cs="Times New Roman"/>
        </w:rPr>
        <w:t>that the</w:t>
      </w:r>
      <w:r w:rsidR="004674B0" w:rsidRPr="00034D23">
        <w:rPr>
          <w:rFonts w:ascii="Times New Roman" w:hAnsi="Times New Roman" w:cs="Times New Roman"/>
        </w:rPr>
        <w:t xml:space="preserve"> overall</w:t>
      </w:r>
      <w:r w:rsidR="00D54BDC" w:rsidRPr="00034D23">
        <w:rPr>
          <w:rFonts w:ascii="Times New Roman" w:hAnsi="Times New Roman" w:cs="Times New Roman"/>
        </w:rPr>
        <w:t xml:space="preserve"> increases in</w:t>
      </w:r>
      <w:r w:rsidR="00D54BDC">
        <w:rPr>
          <w:rFonts w:ascii="Times New Roman" w:hAnsi="Times New Roman" w:cs="Times New Roman"/>
        </w:rPr>
        <w:t xml:space="preserve"> delta were similar for both treated and control group and not caused by FAS 123R.  It also validates our DID technique as it shows that variables we expect should not be affected by the policy change are insignificant.</w:t>
      </w:r>
      <w:r w:rsidR="00D54BDC">
        <w:rPr>
          <w:rStyle w:val="FootnoteReference"/>
          <w:rFonts w:ascii="Times New Roman" w:hAnsi="Times New Roman" w:cs="Times New Roman"/>
        </w:rPr>
        <w:footnoteReference w:id="23"/>
      </w:r>
    </w:p>
    <w:p w:rsidR="00270BEB" w:rsidRDefault="00270BEB" w:rsidP="00270BEB">
      <w:pPr>
        <w:pStyle w:val="ListParagraph"/>
        <w:widowControl w:val="0"/>
        <w:autoSpaceDE w:val="0"/>
        <w:autoSpaceDN w:val="0"/>
        <w:adjustRightInd w:val="0"/>
        <w:spacing w:after="0" w:line="480" w:lineRule="auto"/>
        <w:ind w:left="0"/>
        <w:jc w:val="center"/>
        <w:rPr>
          <w:rFonts w:ascii="Times New Roman" w:hAnsi="Times New Roman" w:cs="Times New Roman"/>
        </w:rPr>
      </w:pPr>
      <w:r>
        <w:rPr>
          <w:rFonts w:ascii="Times New Roman" w:hAnsi="Times New Roman" w:cs="Times New Roman"/>
        </w:rPr>
        <w:t>[Insert Table 2 here]</w:t>
      </w:r>
    </w:p>
    <w:p w:rsidR="00696EAD" w:rsidRDefault="00696EAD" w:rsidP="007C4E77">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r>
      <w:r w:rsidR="00204D96">
        <w:rPr>
          <w:rFonts w:ascii="Times New Roman" w:hAnsi="Times New Roman" w:cs="Times New Roman"/>
        </w:rPr>
        <w:t xml:space="preserve">Next, we look at if the decline in </w:t>
      </w:r>
      <w:proofErr w:type="spellStart"/>
      <w:proofErr w:type="gramStart"/>
      <w:r w:rsidR="00204D96">
        <w:rPr>
          <w:rFonts w:ascii="Times New Roman" w:hAnsi="Times New Roman" w:cs="Times New Roman"/>
        </w:rPr>
        <w:t>vega</w:t>
      </w:r>
      <w:proofErr w:type="spellEnd"/>
      <w:proofErr w:type="gramEnd"/>
      <w:r w:rsidR="00204D96">
        <w:rPr>
          <w:rFonts w:ascii="Times New Roman" w:hAnsi="Times New Roman" w:cs="Times New Roman"/>
        </w:rPr>
        <w:t xml:space="preserve"> induced by FAS 123R</w:t>
      </w:r>
      <w:r w:rsidR="00477172">
        <w:rPr>
          <w:rFonts w:ascii="Times New Roman" w:hAnsi="Times New Roman" w:cs="Times New Roman"/>
        </w:rPr>
        <w:t xml:space="preserve"> </w:t>
      </w:r>
      <w:r w:rsidR="00204D96">
        <w:rPr>
          <w:rFonts w:ascii="Times New Roman" w:hAnsi="Times New Roman" w:cs="Times New Roman"/>
        </w:rPr>
        <w:t>affects</w:t>
      </w:r>
      <w:r w:rsidR="00477172">
        <w:rPr>
          <w:rFonts w:ascii="Times New Roman" w:hAnsi="Times New Roman" w:cs="Times New Roman"/>
        </w:rPr>
        <w:t xml:space="preserve"> corporate hedging.</w:t>
      </w:r>
      <w:r w:rsidR="00204D96">
        <w:rPr>
          <w:rFonts w:ascii="Times New Roman" w:hAnsi="Times New Roman" w:cs="Times New Roman"/>
        </w:rPr>
        <w:t xml:space="preserve"> </w:t>
      </w:r>
      <w:r w:rsidR="00477172">
        <w:rPr>
          <w:rFonts w:ascii="Times New Roman" w:hAnsi="Times New Roman" w:cs="Times New Roman"/>
        </w:rPr>
        <w:t xml:space="preserve"> </w:t>
      </w:r>
      <w:r w:rsidR="00204D96">
        <w:rPr>
          <w:rFonts w:ascii="Times New Roman" w:hAnsi="Times New Roman" w:cs="Times New Roman"/>
        </w:rPr>
        <w:t xml:space="preserve">A simple examination of hedge ratios pre- and post-FAS 123R (see Table 1: Panels B-D) suggests that total hedge ratios mostly increased after 2005. </w:t>
      </w:r>
      <w:r w:rsidR="009F5BFB">
        <w:rPr>
          <w:rFonts w:ascii="Times New Roman" w:hAnsi="Times New Roman" w:cs="Times New Roman"/>
        </w:rPr>
        <w:t xml:space="preserve">To investigate this more rigorously we run </w:t>
      </w:r>
      <w:r w:rsidR="00A41F5E">
        <w:rPr>
          <w:rFonts w:ascii="Times New Roman" w:eastAsia="Times New Roman" w:hAnsi="Times New Roman" w:cs="Times New Roman"/>
          <w:sz w:val="20"/>
          <w:szCs w:val="20"/>
        </w:rPr>
        <w:t>DID</w:t>
      </w:r>
      <w:r w:rsidR="009F5BFB">
        <w:rPr>
          <w:rFonts w:ascii="Times New Roman" w:hAnsi="Times New Roman" w:cs="Times New Roman"/>
        </w:rPr>
        <w:t xml:space="preserve"> regressions with both control </w:t>
      </w:r>
      <w:proofErr w:type="gramStart"/>
      <w:r w:rsidR="009F5BFB">
        <w:rPr>
          <w:rFonts w:ascii="Times New Roman" w:hAnsi="Times New Roman" w:cs="Times New Roman"/>
        </w:rPr>
        <w:t>groups.</w:t>
      </w:r>
      <w:proofErr w:type="gramEnd"/>
      <w:r w:rsidR="009F5BFB">
        <w:rPr>
          <w:rFonts w:ascii="Times New Roman" w:hAnsi="Times New Roman" w:cs="Times New Roman"/>
        </w:rPr>
        <w:t xml:space="preserve"> </w:t>
      </w:r>
      <w:r w:rsidR="00530AD1">
        <w:rPr>
          <w:rFonts w:ascii="Times New Roman" w:hAnsi="Times New Roman" w:cs="Times New Roman"/>
        </w:rPr>
        <w:t xml:space="preserve">A DID technique </w:t>
      </w:r>
      <w:r w:rsidR="002055D8">
        <w:rPr>
          <w:rFonts w:ascii="Times New Roman" w:hAnsi="Times New Roman" w:cs="Times New Roman"/>
        </w:rPr>
        <w:t>is well placed to identify the effect</w:t>
      </w:r>
      <w:r w:rsidR="00530AD1">
        <w:rPr>
          <w:rFonts w:ascii="Times New Roman" w:hAnsi="Times New Roman" w:cs="Times New Roman"/>
        </w:rPr>
        <w:t xml:space="preserve"> of a sharp change in policy such as FAS 123R. </w:t>
      </w:r>
      <w:r w:rsidR="009F5BFB">
        <w:rPr>
          <w:rFonts w:ascii="Times New Roman" w:hAnsi="Times New Roman" w:cs="Times New Roman"/>
        </w:rPr>
        <w:t xml:space="preserve">The results are in Tables 3 and 4. </w:t>
      </w:r>
      <w:r>
        <w:rPr>
          <w:rFonts w:ascii="Times New Roman" w:hAnsi="Times New Roman" w:cs="Times New Roman"/>
        </w:rPr>
        <w:t xml:space="preserve">The coefficient on the interaction term is positive and significant at the ten percent level for </w:t>
      </w:r>
      <w:r w:rsidR="00C635C9">
        <w:rPr>
          <w:rFonts w:ascii="Times New Roman" w:hAnsi="Times New Roman" w:cs="Times New Roman"/>
        </w:rPr>
        <w:t>both</w:t>
      </w:r>
      <w:r>
        <w:rPr>
          <w:rFonts w:ascii="Times New Roman" w:hAnsi="Times New Roman" w:cs="Times New Roman"/>
        </w:rPr>
        <w:t xml:space="preserve"> hedge ratios. </w:t>
      </w:r>
      <w:r w:rsidR="00C635C9">
        <w:rPr>
          <w:rFonts w:ascii="Times New Roman" w:hAnsi="Times New Roman" w:cs="Times New Roman"/>
        </w:rPr>
        <w:t>In the basic specification without control</w:t>
      </w:r>
      <w:r w:rsidR="00AE7576">
        <w:rPr>
          <w:rFonts w:ascii="Times New Roman" w:hAnsi="Times New Roman" w:cs="Times New Roman"/>
        </w:rPr>
        <w:t xml:space="preserve"> variables</w:t>
      </w:r>
      <w:r w:rsidR="00C635C9">
        <w:rPr>
          <w:rFonts w:ascii="Times New Roman" w:hAnsi="Times New Roman" w:cs="Times New Roman"/>
        </w:rPr>
        <w:t xml:space="preserve">, the </w:t>
      </w:r>
      <w:r w:rsidR="00A41F5E">
        <w:rPr>
          <w:rFonts w:ascii="Times New Roman" w:eastAsia="Times New Roman" w:hAnsi="Times New Roman" w:cs="Times New Roman"/>
          <w:sz w:val="20"/>
          <w:szCs w:val="20"/>
        </w:rPr>
        <w:t>DID</w:t>
      </w:r>
      <w:r w:rsidR="00C635C9">
        <w:rPr>
          <w:rFonts w:ascii="Times New Roman" w:hAnsi="Times New Roman" w:cs="Times New Roman"/>
        </w:rPr>
        <w:t xml:space="preserve"> estimator is </w:t>
      </w:r>
      <w:r w:rsidR="0004788C">
        <w:rPr>
          <w:rFonts w:ascii="Times New Roman" w:hAnsi="Times New Roman" w:cs="Times New Roman"/>
        </w:rPr>
        <w:t>0.136</w:t>
      </w:r>
      <w:r w:rsidR="00AE7576">
        <w:rPr>
          <w:rFonts w:ascii="Times New Roman" w:hAnsi="Times New Roman" w:cs="Times New Roman"/>
        </w:rPr>
        <w:t xml:space="preserve"> for control group 1</w:t>
      </w:r>
      <w:r w:rsidR="00C635C9">
        <w:rPr>
          <w:rFonts w:ascii="Times New Roman" w:hAnsi="Times New Roman" w:cs="Times New Roman"/>
        </w:rPr>
        <w:t>. This means that</w:t>
      </w:r>
      <w:r w:rsidR="00AE7576">
        <w:rPr>
          <w:rFonts w:ascii="Times New Roman" w:hAnsi="Times New Roman" w:cs="Times New Roman"/>
        </w:rPr>
        <w:t xml:space="preserve"> hedging increased by </w:t>
      </w:r>
      <w:r w:rsidR="0004788C">
        <w:rPr>
          <w:rFonts w:ascii="Times New Roman" w:hAnsi="Times New Roman" w:cs="Times New Roman"/>
        </w:rPr>
        <w:t>13.6%</w:t>
      </w:r>
      <w:r w:rsidR="00AE7576">
        <w:rPr>
          <w:rFonts w:ascii="Times New Roman" w:hAnsi="Times New Roman" w:cs="Times New Roman"/>
        </w:rPr>
        <w:t xml:space="preserve"> of production in treated firms relative to control firms; this constitutes </w:t>
      </w:r>
      <w:r w:rsidR="005118FE">
        <w:rPr>
          <w:rFonts w:ascii="Times New Roman" w:hAnsi="Times New Roman" w:cs="Times New Roman"/>
        </w:rPr>
        <w:t>a roughly</w:t>
      </w:r>
      <w:r w:rsidR="00AE7576">
        <w:rPr>
          <w:rFonts w:ascii="Times New Roman" w:hAnsi="Times New Roman" w:cs="Times New Roman"/>
        </w:rPr>
        <w:t xml:space="preserve"> </w:t>
      </w:r>
      <w:r w:rsidR="005118FE">
        <w:rPr>
          <w:rFonts w:ascii="Times New Roman" w:hAnsi="Times New Roman" w:cs="Times New Roman"/>
        </w:rPr>
        <w:t>60%</w:t>
      </w:r>
      <w:r w:rsidR="00AE7576">
        <w:rPr>
          <w:rFonts w:ascii="Times New Roman" w:hAnsi="Times New Roman" w:cs="Times New Roman"/>
        </w:rPr>
        <w:t xml:space="preserve">% increase relative to pre-treatment averages of 22% of production hedged. The results are quantitatively similar for hedging as </w:t>
      </w:r>
      <w:r w:rsidR="00AE7576">
        <w:rPr>
          <w:rFonts w:ascii="Times New Roman" w:hAnsi="Times New Roman" w:cs="Times New Roman"/>
        </w:rPr>
        <w:lastRenderedPageBreak/>
        <w:t>a percentage of reserves.</w:t>
      </w:r>
      <w:r w:rsidR="00C635C9">
        <w:rPr>
          <w:rFonts w:ascii="Times New Roman" w:hAnsi="Times New Roman" w:cs="Times New Roman"/>
        </w:rPr>
        <w:t xml:space="preserve"> </w:t>
      </w:r>
      <w:r w:rsidR="00AE7576">
        <w:rPr>
          <w:rFonts w:ascii="Times New Roman" w:hAnsi="Times New Roman" w:cs="Times New Roman"/>
        </w:rPr>
        <w:t>Taken together these</w:t>
      </w:r>
      <w:r w:rsidR="00C635C9">
        <w:rPr>
          <w:rFonts w:ascii="Times New Roman" w:hAnsi="Times New Roman" w:cs="Times New Roman"/>
        </w:rPr>
        <w:t xml:space="preserve"> tests point to</w:t>
      </w:r>
      <w:r>
        <w:rPr>
          <w:rFonts w:ascii="Times New Roman" w:hAnsi="Times New Roman" w:cs="Times New Roman"/>
        </w:rPr>
        <w:t xml:space="preserve"> that the decline in </w:t>
      </w:r>
      <w:proofErr w:type="spellStart"/>
      <w:proofErr w:type="gramStart"/>
      <w:r>
        <w:rPr>
          <w:rFonts w:ascii="Times New Roman" w:hAnsi="Times New Roman" w:cs="Times New Roman"/>
        </w:rPr>
        <w:t>vega</w:t>
      </w:r>
      <w:proofErr w:type="spellEnd"/>
      <w:proofErr w:type="gramEnd"/>
      <w:r>
        <w:rPr>
          <w:rFonts w:ascii="Times New Roman" w:hAnsi="Times New Roman" w:cs="Times New Roman"/>
        </w:rPr>
        <w:t xml:space="preserve"> that was a direct result of FAS 123R caused increased hedging in oil </w:t>
      </w:r>
      <w:r w:rsidR="006A59B2">
        <w:rPr>
          <w:rFonts w:ascii="Times New Roman" w:hAnsi="Times New Roman" w:cs="Times New Roman"/>
        </w:rPr>
        <w:t xml:space="preserve">and gas </w:t>
      </w:r>
      <w:r>
        <w:rPr>
          <w:rFonts w:ascii="Times New Roman" w:hAnsi="Times New Roman" w:cs="Times New Roman"/>
        </w:rPr>
        <w:t>exploration firms.</w:t>
      </w:r>
      <w:r w:rsidR="002055D8">
        <w:rPr>
          <w:rStyle w:val="FootnoteReference"/>
          <w:rFonts w:ascii="Times New Roman" w:hAnsi="Times New Roman" w:cs="Times New Roman"/>
        </w:rPr>
        <w:footnoteReference w:id="24"/>
      </w:r>
      <w:r w:rsidR="00204D96">
        <w:rPr>
          <w:rFonts w:ascii="Times New Roman" w:hAnsi="Times New Roman" w:cs="Times New Roman"/>
        </w:rPr>
        <w:t xml:space="preserve"> </w:t>
      </w:r>
      <w:r w:rsidR="00477172">
        <w:rPr>
          <w:rFonts w:ascii="Times New Roman" w:hAnsi="Times New Roman" w:cs="Times New Roman"/>
        </w:rPr>
        <w:t xml:space="preserve"> </w:t>
      </w:r>
    </w:p>
    <w:p w:rsidR="00270BEB" w:rsidRDefault="00270BEB" w:rsidP="00270BEB">
      <w:pPr>
        <w:pStyle w:val="ListParagraph"/>
        <w:widowControl w:val="0"/>
        <w:autoSpaceDE w:val="0"/>
        <w:autoSpaceDN w:val="0"/>
        <w:adjustRightInd w:val="0"/>
        <w:spacing w:after="0" w:line="480" w:lineRule="auto"/>
        <w:ind w:left="0"/>
        <w:jc w:val="center"/>
        <w:rPr>
          <w:rFonts w:ascii="Times New Roman" w:hAnsi="Times New Roman" w:cs="Times New Roman"/>
        </w:rPr>
      </w:pPr>
      <w:r>
        <w:rPr>
          <w:rFonts w:ascii="Times New Roman" w:hAnsi="Times New Roman" w:cs="Times New Roman"/>
        </w:rPr>
        <w:t>[Insert Table 3 here]</w:t>
      </w:r>
    </w:p>
    <w:p w:rsidR="00530AD1" w:rsidRDefault="00530AD1" w:rsidP="007C4E77">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r>
      <w:r w:rsidRPr="00530AD1">
        <w:rPr>
          <w:rFonts w:ascii="Times New Roman" w:hAnsi="Times New Roman" w:cs="Times New Roman"/>
        </w:rPr>
        <w:t>The key identifying assumption behind the DID estimation technique is that the p</w:t>
      </w:r>
      <w:r w:rsidR="00696EAD" w:rsidRPr="00530AD1">
        <w:rPr>
          <w:rFonts w:ascii="Times New Roman" w:hAnsi="Times New Roman" w:cs="Times New Roman"/>
        </w:rPr>
        <w:t>arallel trends</w:t>
      </w:r>
      <w:r w:rsidRPr="00530AD1">
        <w:rPr>
          <w:rFonts w:ascii="Times New Roman" w:hAnsi="Times New Roman" w:cs="Times New Roman"/>
        </w:rPr>
        <w:t xml:space="preserve"> assumption is satisfied. This says that in the</w:t>
      </w:r>
      <w:r w:rsidR="0094593E" w:rsidRPr="00530AD1">
        <w:rPr>
          <w:rFonts w:ascii="Times New Roman" w:hAnsi="Times New Roman" w:cs="Times New Roman"/>
        </w:rPr>
        <w:t xml:space="preserve"> </w:t>
      </w:r>
      <w:r w:rsidRPr="00530AD1">
        <w:rPr>
          <w:rFonts w:ascii="Times New Roman" w:hAnsi="Times New Roman" w:cs="Times New Roman"/>
        </w:rPr>
        <w:t xml:space="preserve">absence </w:t>
      </w:r>
      <w:r>
        <w:rPr>
          <w:rFonts w:ascii="Times New Roman" w:hAnsi="Times New Roman" w:cs="Times New Roman"/>
        </w:rPr>
        <w:t xml:space="preserve">of treatment both treated and control firms should experience parallel trends in the outcome variable. In other words the treatment effect (i.e. the </w:t>
      </w:r>
      <w:r w:rsidR="00A41F5E">
        <w:rPr>
          <w:rFonts w:ascii="Times New Roman" w:eastAsia="Times New Roman" w:hAnsi="Times New Roman" w:cs="Times New Roman"/>
          <w:sz w:val="20"/>
          <w:szCs w:val="20"/>
        </w:rPr>
        <w:t>DID</w:t>
      </w:r>
      <w:r>
        <w:rPr>
          <w:rFonts w:ascii="Times New Roman" w:hAnsi="Times New Roman" w:cs="Times New Roman"/>
        </w:rPr>
        <w:t xml:space="preserve"> estimator) should be zero. This means that treated and control firms should experience similar trends in hedging, but for FAS 123R. </w:t>
      </w:r>
    </w:p>
    <w:p w:rsidR="00270BEB" w:rsidRDefault="00270BEB" w:rsidP="00270BEB">
      <w:pPr>
        <w:pStyle w:val="ListParagraph"/>
        <w:widowControl w:val="0"/>
        <w:autoSpaceDE w:val="0"/>
        <w:autoSpaceDN w:val="0"/>
        <w:adjustRightInd w:val="0"/>
        <w:spacing w:after="0" w:line="480" w:lineRule="auto"/>
        <w:ind w:left="0"/>
        <w:jc w:val="center"/>
        <w:rPr>
          <w:rFonts w:ascii="Times New Roman" w:hAnsi="Times New Roman" w:cs="Times New Roman"/>
        </w:rPr>
      </w:pPr>
      <w:r>
        <w:rPr>
          <w:rFonts w:ascii="Times New Roman" w:hAnsi="Times New Roman" w:cs="Times New Roman"/>
        </w:rPr>
        <w:t>[Insert Table 4 here]</w:t>
      </w:r>
    </w:p>
    <w:p w:rsidR="00401303" w:rsidRDefault="004674B0" w:rsidP="007C4E77">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t>To</w:t>
      </w:r>
      <w:r w:rsidR="00530AD1">
        <w:rPr>
          <w:rFonts w:ascii="Times New Roman" w:hAnsi="Times New Roman" w:cs="Times New Roman"/>
        </w:rPr>
        <w:t xml:space="preserve"> assess if the parallel trends assumption is likely to hold in our setting we perform a variety of tests. First, we investigate trends in the outcome variables prior to 2005. As can be seen in</w:t>
      </w:r>
      <w:r>
        <w:rPr>
          <w:rFonts w:ascii="Times New Roman" w:hAnsi="Times New Roman" w:cs="Times New Roman"/>
        </w:rPr>
        <w:t xml:space="preserve"> Figure 2</w:t>
      </w:r>
      <w:r w:rsidR="002239E5">
        <w:rPr>
          <w:rFonts w:ascii="Times New Roman" w:hAnsi="Times New Roman" w:cs="Times New Roman"/>
        </w:rPr>
        <w:t xml:space="preserve">, treated and control firms exhibit similar trends in hedging prior to </w:t>
      </w:r>
      <w:r w:rsidR="00D445F5">
        <w:rPr>
          <w:rFonts w:ascii="Times New Roman" w:hAnsi="Times New Roman" w:cs="Times New Roman"/>
        </w:rPr>
        <w:t>FAS 123R</w:t>
      </w:r>
      <w:r w:rsidR="002239E5">
        <w:rPr>
          <w:rFonts w:ascii="Times New Roman" w:hAnsi="Times New Roman" w:cs="Times New Roman"/>
        </w:rPr>
        <w:t xml:space="preserve"> for </w:t>
      </w:r>
      <w:r w:rsidR="002239E5" w:rsidRPr="002239E5">
        <w:rPr>
          <w:rFonts w:ascii="Times New Roman" w:hAnsi="Times New Roman" w:cs="Times New Roman"/>
          <w:i/>
        </w:rPr>
        <w:t>Hedge Ratio 1</w:t>
      </w:r>
      <w:r w:rsidR="006A59B2">
        <w:rPr>
          <w:rFonts w:ascii="Times New Roman" w:hAnsi="Times New Roman" w:cs="Times New Roman"/>
        </w:rPr>
        <w:t>. H</w:t>
      </w:r>
      <w:r w:rsidR="002239E5">
        <w:rPr>
          <w:rFonts w:ascii="Times New Roman" w:hAnsi="Times New Roman" w:cs="Times New Roman"/>
        </w:rPr>
        <w:t xml:space="preserve">owever, for </w:t>
      </w:r>
      <w:r w:rsidR="002239E5" w:rsidRPr="00C635C9">
        <w:rPr>
          <w:rFonts w:ascii="Times New Roman" w:hAnsi="Times New Roman" w:cs="Times New Roman"/>
          <w:i/>
        </w:rPr>
        <w:t>Hedge Ratio 2</w:t>
      </w:r>
      <w:r w:rsidR="002239E5">
        <w:rPr>
          <w:rFonts w:ascii="Times New Roman" w:hAnsi="Times New Roman" w:cs="Times New Roman"/>
        </w:rPr>
        <w:t xml:space="preserve"> we observe differential trends. Nevertheless, the differences in hedging between treated and control firms in 2003-2004 are minor compared with the large differentials induced by FAS 123R</w:t>
      </w:r>
      <w:r>
        <w:rPr>
          <w:rFonts w:ascii="Times New Roman" w:hAnsi="Times New Roman" w:cs="Times New Roman"/>
        </w:rPr>
        <w:t xml:space="preserve"> in 2005-2006. In Figure 2</w:t>
      </w:r>
      <w:r w:rsidR="00D07B4F">
        <w:rPr>
          <w:rFonts w:ascii="Times New Roman" w:hAnsi="Times New Roman" w:cs="Times New Roman"/>
        </w:rPr>
        <w:t xml:space="preserve"> </w:t>
      </w:r>
      <w:r w:rsidR="002239E5">
        <w:rPr>
          <w:rFonts w:ascii="Times New Roman" w:hAnsi="Times New Roman" w:cs="Times New Roman"/>
        </w:rPr>
        <w:t xml:space="preserve">we observe </w:t>
      </w:r>
      <w:r w:rsidR="00D07B4F">
        <w:rPr>
          <w:rFonts w:ascii="Times New Roman" w:hAnsi="Times New Roman" w:cs="Times New Roman"/>
        </w:rPr>
        <w:t xml:space="preserve">a </w:t>
      </w:r>
      <w:r w:rsidR="002239E5">
        <w:rPr>
          <w:rFonts w:ascii="Times New Roman" w:hAnsi="Times New Roman" w:cs="Times New Roman"/>
        </w:rPr>
        <w:t>large increase in hedge ratios for treated firms relative to control firms. Thus, the figure suggest</w:t>
      </w:r>
      <w:r w:rsidR="00D07B4F">
        <w:rPr>
          <w:rFonts w:ascii="Times New Roman" w:hAnsi="Times New Roman" w:cs="Times New Roman"/>
        </w:rPr>
        <w:t>s</w:t>
      </w:r>
      <w:r w:rsidR="002239E5">
        <w:rPr>
          <w:rFonts w:ascii="Times New Roman" w:hAnsi="Times New Roman" w:cs="Times New Roman"/>
        </w:rPr>
        <w:t xml:space="preserve"> that the FAS 123R caused higher hedging in treated firms. </w:t>
      </w:r>
    </w:p>
    <w:p w:rsidR="00270BEB" w:rsidRDefault="00270BEB" w:rsidP="00270BEB">
      <w:pPr>
        <w:pStyle w:val="ListParagraph"/>
        <w:widowControl w:val="0"/>
        <w:autoSpaceDE w:val="0"/>
        <w:autoSpaceDN w:val="0"/>
        <w:adjustRightInd w:val="0"/>
        <w:spacing w:after="0" w:line="480" w:lineRule="auto"/>
        <w:ind w:left="0"/>
        <w:jc w:val="center"/>
        <w:rPr>
          <w:rFonts w:ascii="Times New Roman" w:hAnsi="Times New Roman" w:cs="Times New Roman"/>
        </w:rPr>
      </w:pPr>
      <w:r>
        <w:rPr>
          <w:rFonts w:ascii="Times New Roman" w:hAnsi="Times New Roman" w:cs="Times New Roman"/>
        </w:rPr>
        <w:t>[Insert Figure 2 here]</w:t>
      </w:r>
    </w:p>
    <w:p w:rsidR="0094593E" w:rsidRDefault="00C635C9" w:rsidP="006A08EB">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r>
      <w:r w:rsidR="00401303">
        <w:rPr>
          <w:rFonts w:ascii="Times New Roman" w:hAnsi="Times New Roman" w:cs="Times New Roman"/>
        </w:rPr>
        <w:t xml:space="preserve">Second, we compare the pre-treatment characteristics of treated and control firms. If treated and control firms are similar along these dimensions it is less likely that they experience differential trends around the event. In effect, this makes it less likely that </w:t>
      </w:r>
      <w:proofErr w:type="spellStart"/>
      <w:r w:rsidR="00401303">
        <w:rPr>
          <w:rFonts w:ascii="Times New Roman" w:hAnsi="Times New Roman" w:cs="Times New Roman"/>
        </w:rPr>
        <w:t>unobservable</w:t>
      </w:r>
      <w:r w:rsidR="00F2690E">
        <w:rPr>
          <w:rFonts w:ascii="Times New Roman" w:hAnsi="Times New Roman" w:cs="Times New Roman"/>
        </w:rPr>
        <w:t>s</w:t>
      </w:r>
      <w:proofErr w:type="spellEnd"/>
      <w:r w:rsidR="00401303">
        <w:rPr>
          <w:rFonts w:ascii="Times New Roman" w:hAnsi="Times New Roman" w:cs="Times New Roman"/>
        </w:rPr>
        <w:t xml:space="preserve"> could cause treated firms to increase their hedging activities in ways that are unrelated to the declines in </w:t>
      </w:r>
      <w:proofErr w:type="spellStart"/>
      <w:proofErr w:type="gramStart"/>
      <w:r w:rsidR="00401303">
        <w:rPr>
          <w:rFonts w:ascii="Times New Roman" w:hAnsi="Times New Roman" w:cs="Times New Roman"/>
        </w:rPr>
        <w:t>vega</w:t>
      </w:r>
      <w:proofErr w:type="spellEnd"/>
      <w:proofErr w:type="gramEnd"/>
      <w:r w:rsidR="00401303">
        <w:rPr>
          <w:rFonts w:ascii="Times New Roman" w:hAnsi="Times New Roman" w:cs="Times New Roman"/>
        </w:rPr>
        <w:t xml:space="preserve">. For instance, </w:t>
      </w:r>
      <w:r w:rsidR="006A59B2">
        <w:rPr>
          <w:rFonts w:ascii="Times New Roman" w:hAnsi="Times New Roman" w:cs="Times New Roman"/>
        </w:rPr>
        <w:t xml:space="preserve">it is possible that a </w:t>
      </w:r>
      <w:r w:rsidR="00FD3E28">
        <w:rPr>
          <w:rFonts w:ascii="Times New Roman" w:hAnsi="Times New Roman" w:cs="Times New Roman"/>
        </w:rPr>
        <w:t xml:space="preserve">significant increase in </w:t>
      </w:r>
      <w:r w:rsidR="006A59B2">
        <w:rPr>
          <w:rFonts w:ascii="Times New Roman" w:hAnsi="Times New Roman" w:cs="Times New Roman"/>
        </w:rPr>
        <w:t xml:space="preserve">oil and/or </w:t>
      </w:r>
      <w:r w:rsidR="00FD3E28">
        <w:rPr>
          <w:rFonts w:ascii="Times New Roman" w:hAnsi="Times New Roman" w:cs="Times New Roman"/>
        </w:rPr>
        <w:t xml:space="preserve">gas price volatility contributed to increased hedging </w:t>
      </w:r>
      <w:r w:rsidR="00FD3E28">
        <w:rPr>
          <w:rFonts w:ascii="Times New Roman" w:hAnsi="Times New Roman" w:cs="Times New Roman"/>
        </w:rPr>
        <w:lastRenderedPageBreak/>
        <w:t xml:space="preserve">activity from 2003-2004 to 2005-2006. We are not worried about this shift in volatility in so far as it affects the treated and control groups in the same way (this affect is differenced out). However, if our treated firms react more strongly to the change in </w:t>
      </w:r>
      <w:r w:rsidR="00D07B4F">
        <w:rPr>
          <w:rFonts w:ascii="Times New Roman" w:hAnsi="Times New Roman" w:cs="Times New Roman"/>
        </w:rPr>
        <w:t xml:space="preserve">oil and/or </w:t>
      </w:r>
      <w:r w:rsidR="00FD3E28">
        <w:rPr>
          <w:rFonts w:ascii="Times New Roman" w:hAnsi="Times New Roman" w:cs="Times New Roman"/>
        </w:rPr>
        <w:t xml:space="preserve">gas price volatility (a differential trend) then this could bias our results in favor of finding that FAS 123R increased hedging. Checking that our treatment and control are similar in the pre-treatment period makes it less likely that such biases would contaminate our findings. </w:t>
      </w:r>
      <w:r w:rsidR="006A08EB">
        <w:rPr>
          <w:rFonts w:ascii="Times New Roman" w:hAnsi="Times New Roman" w:cs="Times New Roman"/>
        </w:rPr>
        <w:t xml:space="preserve">It is therefore reassuring as shown in Table 1: Panels C and D, that there are few differences between the both control groups and the respective treated groups.  </w:t>
      </w:r>
    </w:p>
    <w:p w:rsidR="00401303" w:rsidRDefault="00053D5A" w:rsidP="007C4E77">
      <w:pPr>
        <w:autoSpaceDE w:val="0"/>
        <w:autoSpaceDN w:val="0"/>
        <w:adjustRightInd w:val="0"/>
        <w:spacing w:after="0" w:line="480" w:lineRule="auto"/>
        <w:jc w:val="both"/>
        <w:rPr>
          <w:rFonts w:ascii="Times New Roman" w:eastAsia="Times New Roman" w:hAnsi="Times New Roman" w:cs="Times New Roman"/>
        </w:rPr>
      </w:pPr>
      <w:r>
        <w:rPr>
          <w:rFonts w:ascii="Times New Roman" w:eastAsia="Times New Roman" w:hAnsi="Times New Roman" w:cs="Times New Roman"/>
        </w:rPr>
        <w:tab/>
        <w:t>There is no</w:t>
      </w:r>
      <w:r w:rsidR="00795D49">
        <w:rPr>
          <w:rFonts w:ascii="Times New Roman" w:eastAsia="Times New Roman" w:hAnsi="Times New Roman" w:cs="Times New Roman"/>
        </w:rPr>
        <w:t xml:space="preserve"> real</w:t>
      </w:r>
      <w:r>
        <w:rPr>
          <w:rFonts w:ascii="Times New Roman" w:eastAsia="Times New Roman" w:hAnsi="Times New Roman" w:cs="Times New Roman"/>
        </w:rPr>
        <w:t xml:space="preserve"> consensus on</w:t>
      </w:r>
      <w:r w:rsidR="00DA0FF2">
        <w:rPr>
          <w:rFonts w:ascii="Times New Roman" w:eastAsia="Times New Roman" w:hAnsi="Times New Roman" w:cs="Times New Roman"/>
        </w:rPr>
        <w:t xml:space="preserve"> what variables to include in hedging regressions. We therefore canvas the literature for common explanatory variables and includ</w:t>
      </w:r>
      <w:r>
        <w:rPr>
          <w:rFonts w:ascii="Times New Roman" w:eastAsia="Times New Roman" w:hAnsi="Times New Roman" w:cs="Times New Roman"/>
        </w:rPr>
        <w:t>e them in our DID regressions to ensure our results are robust</w:t>
      </w:r>
      <w:r w:rsidR="00DA0FF2">
        <w:rPr>
          <w:rFonts w:ascii="Times New Roman" w:eastAsia="Times New Roman" w:hAnsi="Times New Roman" w:cs="Times New Roman"/>
        </w:rPr>
        <w:t>.</w:t>
      </w:r>
      <w:r w:rsidR="00991376">
        <w:rPr>
          <w:rFonts w:ascii="Times New Roman" w:eastAsia="Times New Roman" w:hAnsi="Times New Roman" w:cs="Times New Roman"/>
        </w:rPr>
        <w:t xml:space="preserve"> We exclude </w:t>
      </w:r>
      <w:proofErr w:type="spellStart"/>
      <w:proofErr w:type="gramStart"/>
      <w:r w:rsidR="00991376">
        <w:rPr>
          <w:rFonts w:ascii="Times New Roman" w:eastAsia="Times New Roman" w:hAnsi="Times New Roman" w:cs="Times New Roman"/>
        </w:rPr>
        <w:t>vega</w:t>
      </w:r>
      <w:proofErr w:type="spellEnd"/>
      <w:proofErr w:type="gramEnd"/>
      <w:r w:rsidR="00DA0FF2">
        <w:rPr>
          <w:rFonts w:ascii="Times New Roman" w:eastAsia="Times New Roman" w:hAnsi="Times New Roman" w:cs="Times New Roman"/>
        </w:rPr>
        <w:t xml:space="preserve"> from the specifications</w:t>
      </w:r>
      <w:r>
        <w:rPr>
          <w:rFonts w:ascii="Times New Roman" w:eastAsia="Times New Roman" w:hAnsi="Times New Roman" w:cs="Times New Roman"/>
        </w:rPr>
        <w:t xml:space="preserve"> as </w:t>
      </w:r>
      <w:proofErr w:type="spellStart"/>
      <w:r>
        <w:rPr>
          <w:rFonts w:ascii="Times New Roman" w:eastAsia="Times New Roman" w:hAnsi="Times New Roman" w:cs="Times New Roman"/>
        </w:rPr>
        <w:t>vega</w:t>
      </w:r>
      <w:proofErr w:type="spellEnd"/>
      <w:r>
        <w:rPr>
          <w:rFonts w:ascii="Times New Roman" w:eastAsia="Times New Roman" w:hAnsi="Times New Roman" w:cs="Times New Roman"/>
        </w:rPr>
        <w:t xml:space="preserve"> are affected by the event (see Table 2)</w:t>
      </w:r>
      <w:r w:rsidR="00DA0FF2">
        <w:rPr>
          <w:rFonts w:ascii="Times New Roman" w:eastAsia="Times New Roman" w:hAnsi="Times New Roman" w:cs="Times New Roman"/>
        </w:rPr>
        <w:t xml:space="preserve">. </w:t>
      </w:r>
      <w:r w:rsidR="00795D49">
        <w:rPr>
          <w:rFonts w:ascii="Times New Roman" w:eastAsia="Times New Roman" w:hAnsi="Times New Roman" w:cs="Times New Roman"/>
        </w:rPr>
        <w:t xml:space="preserve">The results are in Tables 3 and 4. The </w:t>
      </w:r>
      <w:r w:rsidR="00A41F5E">
        <w:rPr>
          <w:rFonts w:ascii="Times New Roman" w:eastAsia="Times New Roman" w:hAnsi="Times New Roman" w:cs="Times New Roman"/>
          <w:sz w:val="20"/>
          <w:szCs w:val="20"/>
        </w:rPr>
        <w:t>DID</w:t>
      </w:r>
      <w:r w:rsidR="00795D49">
        <w:rPr>
          <w:rFonts w:ascii="Times New Roman" w:eastAsia="Times New Roman" w:hAnsi="Times New Roman" w:cs="Times New Roman"/>
        </w:rPr>
        <w:t xml:space="preserve"> estimator is largely unchanged compared to our simple specifications and it remains mostly significant at the 10% level.</w:t>
      </w:r>
      <w:r w:rsidR="004A7378">
        <w:rPr>
          <w:rStyle w:val="FootnoteReference"/>
          <w:rFonts w:ascii="Times New Roman" w:eastAsia="Times New Roman" w:hAnsi="Times New Roman" w:cs="Times New Roman"/>
        </w:rPr>
        <w:footnoteReference w:id="25"/>
      </w:r>
      <w:r w:rsidR="00795D49">
        <w:rPr>
          <w:rFonts w:ascii="Times New Roman" w:eastAsia="Times New Roman" w:hAnsi="Times New Roman" w:cs="Times New Roman"/>
        </w:rPr>
        <w:t xml:space="preserve"> The fact that our results are quantitatively similar</w:t>
      </w:r>
      <w:r w:rsidR="004A7378">
        <w:rPr>
          <w:rFonts w:ascii="Times New Roman" w:eastAsia="Times New Roman" w:hAnsi="Times New Roman" w:cs="Times New Roman"/>
        </w:rPr>
        <w:t xml:space="preserve"> with additional covariates is comforting as large changes in our results would suggest that assignment to the treatment was not random.</w:t>
      </w:r>
      <w:r w:rsidR="00461E2B">
        <w:rPr>
          <w:rFonts w:ascii="Times New Roman" w:eastAsia="Times New Roman" w:hAnsi="Times New Roman" w:cs="Times New Roman"/>
        </w:rPr>
        <w:t xml:space="preserve"> Even though including control variables reduces the error variance in our specifications, we are leery of relying on this specification with controls as our main result. This is because hedging is jointly determined with most of the control variables such as leverage, cash and dividend policy. </w:t>
      </w:r>
      <w:r w:rsidR="00E64BA5">
        <w:rPr>
          <w:rFonts w:ascii="Times New Roman" w:eastAsia="Times New Roman" w:hAnsi="Times New Roman" w:cs="Times New Roman"/>
        </w:rPr>
        <w:t>Furthermore</w:t>
      </w:r>
      <w:r w:rsidR="00461E2B">
        <w:rPr>
          <w:rFonts w:ascii="Times New Roman" w:eastAsia="Times New Roman" w:hAnsi="Times New Roman" w:cs="Times New Roman"/>
        </w:rPr>
        <w:t>,</w:t>
      </w:r>
      <w:r w:rsidR="00E64BA5">
        <w:rPr>
          <w:rFonts w:ascii="Times New Roman" w:eastAsia="Times New Roman" w:hAnsi="Times New Roman" w:cs="Times New Roman"/>
        </w:rPr>
        <w:t xml:space="preserve"> </w:t>
      </w:r>
      <w:r w:rsidR="00461E2B">
        <w:rPr>
          <w:rFonts w:ascii="Times New Roman" w:eastAsia="Times New Roman" w:hAnsi="Times New Roman" w:cs="Times New Roman"/>
        </w:rPr>
        <w:t>our treated and control firms are similar in the pre-treatment period</w:t>
      </w:r>
      <w:r w:rsidR="00E64BA5">
        <w:rPr>
          <w:rFonts w:ascii="Times New Roman" w:eastAsia="Times New Roman" w:hAnsi="Times New Roman" w:cs="Times New Roman"/>
        </w:rPr>
        <w:t xml:space="preserve"> so the pure DID estimation should yield similar results to the full specification explored here.</w:t>
      </w:r>
      <w:r w:rsidR="00401303">
        <w:rPr>
          <w:rFonts w:ascii="Times New Roman" w:eastAsia="Times New Roman" w:hAnsi="Times New Roman" w:cs="Times New Roman"/>
        </w:rPr>
        <w:t xml:space="preserve"> </w:t>
      </w:r>
    </w:p>
    <w:p w:rsidR="00696EAD" w:rsidRDefault="0031070F" w:rsidP="00C4437A">
      <w:pPr>
        <w:autoSpaceDE w:val="0"/>
        <w:autoSpaceDN w:val="0"/>
        <w:adjustRightInd w:val="0"/>
        <w:spacing w:after="120" w:line="480" w:lineRule="auto"/>
        <w:jc w:val="both"/>
        <w:rPr>
          <w:rFonts w:ascii="Times New Roman" w:eastAsia="Times New Roman" w:hAnsi="Times New Roman" w:cs="Times New Roman"/>
        </w:rPr>
      </w:pPr>
      <w:r>
        <w:rPr>
          <w:rFonts w:ascii="Times New Roman" w:eastAsia="Times New Roman" w:hAnsi="Times New Roman" w:cs="Times New Roman"/>
        </w:rPr>
        <w:tab/>
        <w:t xml:space="preserve">To make sure that the exclusion of </w:t>
      </w:r>
      <w:proofErr w:type="spellStart"/>
      <w:proofErr w:type="gramStart"/>
      <w:r>
        <w:rPr>
          <w:rFonts w:ascii="Times New Roman" w:eastAsia="Times New Roman" w:hAnsi="Times New Roman" w:cs="Times New Roman"/>
        </w:rPr>
        <w:t>vega</w:t>
      </w:r>
      <w:proofErr w:type="spellEnd"/>
      <w:proofErr w:type="gramEnd"/>
      <w:r>
        <w:rPr>
          <w:rFonts w:ascii="Times New Roman" w:eastAsia="Times New Roman" w:hAnsi="Times New Roman" w:cs="Times New Roman"/>
        </w:rPr>
        <w:t xml:space="preserve"> is not biasing our results we run simple difference regressions. All variables are differences of the average values of the variables in the pre and post-treatment periods. The results can be found in Table 5. </w:t>
      </w:r>
      <w:r w:rsidR="006F642F">
        <w:rPr>
          <w:rFonts w:ascii="Times New Roman" w:eastAsia="Times New Roman" w:hAnsi="Times New Roman" w:cs="Times New Roman"/>
        </w:rPr>
        <w:t xml:space="preserve">As we expect we find a significant negative coefficients on changes in </w:t>
      </w:r>
      <w:proofErr w:type="spellStart"/>
      <w:proofErr w:type="gramStart"/>
      <w:r w:rsidR="006F642F">
        <w:rPr>
          <w:rFonts w:ascii="Times New Roman" w:eastAsia="Times New Roman" w:hAnsi="Times New Roman" w:cs="Times New Roman"/>
        </w:rPr>
        <w:t>vega</w:t>
      </w:r>
      <w:proofErr w:type="spellEnd"/>
      <w:proofErr w:type="gramEnd"/>
      <w:r w:rsidR="006F642F">
        <w:rPr>
          <w:rFonts w:ascii="Times New Roman" w:eastAsia="Times New Roman" w:hAnsi="Times New Roman" w:cs="Times New Roman"/>
        </w:rPr>
        <w:t xml:space="preserve">. This implies that a reduction in </w:t>
      </w:r>
      <w:proofErr w:type="spellStart"/>
      <w:proofErr w:type="gramStart"/>
      <w:r w:rsidR="006F642F">
        <w:rPr>
          <w:rFonts w:ascii="Times New Roman" w:eastAsia="Times New Roman" w:hAnsi="Times New Roman" w:cs="Times New Roman"/>
        </w:rPr>
        <w:t>vega</w:t>
      </w:r>
      <w:proofErr w:type="spellEnd"/>
      <w:proofErr w:type="gramEnd"/>
      <w:r w:rsidR="006F642F">
        <w:rPr>
          <w:rFonts w:ascii="Times New Roman" w:eastAsia="Times New Roman" w:hAnsi="Times New Roman" w:cs="Times New Roman"/>
        </w:rPr>
        <w:t xml:space="preserve"> increases hedging around the </w:t>
      </w:r>
      <w:r w:rsidR="006F642F">
        <w:rPr>
          <w:rFonts w:ascii="Times New Roman" w:eastAsia="Times New Roman" w:hAnsi="Times New Roman" w:cs="Times New Roman"/>
        </w:rPr>
        <w:lastRenderedPageBreak/>
        <w:t xml:space="preserve">adoption of FAS 123R. The downside of this estimation is that the single difference does not control for </w:t>
      </w:r>
      <w:r w:rsidR="006F642F" w:rsidRPr="00C4437A">
        <w:rPr>
          <w:rFonts w:ascii="Times New Roman" w:eastAsia="Times New Roman" w:hAnsi="Times New Roman" w:cs="Times New Roman"/>
        </w:rPr>
        <w:t xml:space="preserve">parallel trends around the event. </w:t>
      </w:r>
    </w:p>
    <w:p w:rsidR="00270BEB" w:rsidRDefault="00270BEB" w:rsidP="00270BEB">
      <w:pPr>
        <w:pStyle w:val="ListParagraph"/>
        <w:widowControl w:val="0"/>
        <w:autoSpaceDE w:val="0"/>
        <w:autoSpaceDN w:val="0"/>
        <w:adjustRightInd w:val="0"/>
        <w:spacing w:after="0" w:line="480" w:lineRule="auto"/>
        <w:ind w:left="0"/>
        <w:jc w:val="center"/>
        <w:rPr>
          <w:rFonts w:ascii="Times New Roman" w:hAnsi="Times New Roman" w:cs="Times New Roman"/>
        </w:rPr>
      </w:pPr>
      <w:r>
        <w:rPr>
          <w:rFonts w:ascii="Times New Roman" w:hAnsi="Times New Roman" w:cs="Times New Roman"/>
        </w:rPr>
        <w:t>[Insert Table 5 here]</w:t>
      </w:r>
    </w:p>
    <w:p w:rsidR="000E21CB" w:rsidRPr="00C13428" w:rsidRDefault="005230B5" w:rsidP="00C4437A">
      <w:pPr>
        <w:autoSpaceDE w:val="0"/>
        <w:autoSpaceDN w:val="0"/>
        <w:adjustRightInd w:val="0"/>
        <w:spacing w:after="120" w:line="480" w:lineRule="auto"/>
        <w:jc w:val="both"/>
        <w:rPr>
          <w:rFonts w:ascii="Times New Roman" w:hAnsi="Times New Roman" w:cs="Times New Roman"/>
        </w:rPr>
      </w:pPr>
      <w:r w:rsidRPr="00C4437A">
        <w:rPr>
          <w:rFonts w:ascii="Times New Roman" w:hAnsi="Times New Roman" w:cs="Times New Roman"/>
          <w:color w:val="4F6228" w:themeColor="accent3" w:themeShade="80"/>
        </w:rPr>
        <w:tab/>
      </w:r>
      <w:r w:rsidRPr="00C13428">
        <w:rPr>
          <w:rFonts w:ascii="Times New Roman" w:hAnsi="Times New Roman" w:cs="Times New Roman"/>
        </w:rPr>
        <w:t>In the pre-FAS</w:t>
      </w:r>
      <w:r w:rsidR="00991376" w:rsidRPr="00C13428">
        <w:rPr>
          <w:rFonts w:ascii="Times New Roman" w:hAnsi="Times New Roman" w:cs="Times New Roman"/>
        </w:rPr>
        <w:t xml:space="preserve"> </w:t>
      </w:r>
      <w:r w:rsidRPr="00C13428">
        <w:rPr>
          <w:rFonts w:ascii="Times New Roman" w:hAnsi="Times New Roman" w:cs="Times New Roman"/>
        </w:rPr>
        <w:t>123R period, 2003-2004, oil and natural gas price volatility were lower than in the post-FAS</w:t>
      </w:r>
      <w:r w:rsidR="00991376" w:rsidRPr="00C13428">
        <w:rPr>
          <w:rFonts w:ascii="Times New Roman" w:hAnsi="Times New Roman" w:cs="Times New Roman"/>
        </w:rPr>
        <w:t xml:space="preserve"> </w:t>
      </w:r>
      <w:r w:rsidRPr="00C13428">
        <w:rPr>
          <w:rFonts w:ascii="Times New Roman" w:hAnsi="Times New Roman" w:cs="Times New Roman"/>
        </w:rPr>
        <w:t>123R period, 2005-2006 (</w:t>
      </w:r>
      <w:r w:rsidR="00FF38FF" w:rsidRPr="00C13428">
        <w:rPr>
          <w:rFonts w:ascii="Times New Roman" w:hAnsi="Times New Roman" w:cs="Times New Roman"/>
        </w:rPr>
        <w:t>0.57 and 3.36 versus 1.21 and 6.12, for natural gas and oil respectively).</w:t>
      </w:r>
      <w:r w:rsidR="00FF38FF" w:rsidRPr="00C13428">
        <w:rPr>
          <w:rStyle w:val="FootnoteReference"/>
          <w:rFonts w:ascii="Times New Roman" w:eastAsia="Times New Roman" w:hAnsi="Times New Roman" w:cs="Times New Roman"/>
        </w:rPr>
        <w:footnoteReference w:id="26"/>
      </w:r>
      <w:r w:rsidR="00FF38FF" w:rsidRPr="00C13428">
        <w:rPr>
          <w:rFonts w:ascii="Times New Roman" w:eastAsia="Times New Roman" w:hAnsi="Times New Roman" w:cs="Times New Roman"/>
        </w:rPr>
        <w:t xml:space="preserve"> </w:t>
      </w:r>
      <w:r w:rsidR="00FF38FF" w:rsidRPr="00C13428">
        <w:rPr>
          <w:rFonts w:ascii="Times New Roman" w:hAnsi="Times New Roman" w:cs="Times New Roman"/>
        </w:rPr>
        <w:t xml:space="preserve"> </w:t>
      </w:r>
      <w:r w:rsidRPr="00C13428">
        <w:rPr>
          <w:rFonts w:ascii="Times New Roman" w:hAnsi="Times New Roman" w:cs="Times New Roman"/>
        </w:rPr>
        <w:t xml:space="preserve">As mentioned earlier </w:t>
      </w:r>
      <w:r w:rsidR="00FF38FF" w:rsidRPr="00C13428">
        <w:rPr>
          <w:rFonts w:ascii="Times New Roman" w:hAnsi="Times New Roman" w:cs="Times New Roman"/>
        </w:rPr>
        <w:t xml:space="preserve">all of firms in our sample were affected by the increase in oil price volatility. Thus, the change in hedging </w:t>
      </w:r>
      <w:r w:rsidR="0035322F" w:rsidRPr="00C13428">
        <w:rPr>
          <w:rFonts w:ascii="Times New Roman" w:hAnsi="Times New Roman" w:cs="Times New Roman"/>
        </w:rPr>
        <w:t>behavior</w:t>
      </w:r>
      <w:r w:rsidR="00FF38FF" w:rsidRPr="00C13428">
        <w:rPr>
          <w:rFonts w:ascii="Times New Roman" w:hAnsi="Times New Roman" w:cs="Times New Roman"/>
        </w:rPr>
        <w:t xml:space="preserve"> due to the volatility regime shift should be the same for both treated group firms and the control group firms. The DID </w:t>
      </w:r>
      <w:r w:rsidR="003A6432" w:rsidRPr="00C13428">
        <w:rPr>
          <w:rFonts w:ascii="Times New Roman" w:hAnsi="Times New Roman" w:cs="Times New Roman"/>
        </w:rPr>
        <w:t>method assures that</w:t>
      </w:r>
      <w:r w:rsidR="00BF049A" w:rsidRPr="00C13428">
        <w:rPr>
          <w:rFonts w:ascii="Times New Roman" w:hAnsi="Times New Roman" w:cs="Times New Roman"/>
        </w:rPr>
        <w:t xml:space="preserve"> this effect is differenced </w:t>
      </w:r>
      <w:r w:rsidR="00991376" w:rsidRPr="00C13428">
        <w:rPr>
          <w:rFonts w:ascii="Times New Roman" w:hAnsi="Times New Roman" w:cs="Times New Roman"/>
        </w:rPr>
        <w:t xml:space="preserve">out. However, there is also a </w:t>
      </w:r>
      <w:r w:rsidR="00991376" w:rsidRPr="00C13428">
        <w:rPr>
          <w:rFonts w:ascii="Times New Roman" w:hAnsi="Times New Roman" w:cs="Times New Roman"/>
          <w:i/>
        </w:rPr>
        <w:t>differential</w:t>
      </w:r>
      <w:r w:rsidR="00BF049A" w:rsidRPr="00C13428">
        <w:rPr>
          <w:rFonts w:ascii="Times New Roman" w:hAnsi="Times New Roman" w:cs="Times New Roman"/>
          <w:i/>
        </w:rPr>
        <w:t xml:space="preserve"> </w:t>
      </w:r>
      <w:r w:rsidR="00BF049A" w:rsidRPr="00C13428">
        <w:rPr>
          <w:rFonts w:ascii="Times New Roman" w:hAnsi="Times New Roman" w:cs="Times New Roman"/>
        </w:rPr>
        <w:t xml:space="preserve">effect of changes in volatility that could possibly impact our results.  </w:t>
      </w:r>
    </w:p>
    <w:p w:rsidR="00126D4F" w:rsidRPr="00C13428" w:rsidRDefault="000E21CB" w:rsidP="00C4437A">
      <w:pPr>
        <w:autoSpaceDE w:val="0"/>
        <w:autoSpaceDN w:val="0"/>
        <w:adjustRightInd w:val="0"/>
        <w:spacing w:after="120" w:line="480" w:lineRule="auto"/>
        <w:ind w:firstLine="720"/>
        <w:jc w:val="both"/>
        <w:rPr>
          <w:rFonts w:ascii="Times New Roman" w:eastAsia="Times New Roman" w:hAnsi="Times New Roman" w:cs="Times New Roman"/>
        </w:rPr>
      </w:pPr>
      <w:r w:rsidRPr="00C13428">
        <w:rPr>
          <w:rFonts w:ascii="Times New Roman" w:eastAsia="Times New Roman" w:hAnsi="Times New Roman" w:cs="Times New Roman"/>
        </w:rPr>
        <w:t xml:space="preserve">If </w:t>
      </w:r>
      <w:r w:rsidR="003A6432" w:rsidRPr="00C13428">
        <w:rPr>
          <w:rFonts w:ascii="Times New Roman" w:eastAsia="Times New Roman" w:hAnsi="Times New Roman" w:cs="Times New Roman"/>
        </w:rPr>
        <w:t>a CEO is granted</w:t>
      </w:r>
      <w:r w:rsidRPr="00C13428">
        <w:rPr>
          <w:rFonts w:ascii="Times New Roman" w:eastAsia="Times New Roman" w:hAnsi="Times New Roman" w:cs="Times New Roman"/>
        </w:rPr>
        <w:t xml:space="preserve"> option</w:t>
      </w:r>
      <w:r w:rsidR="003A6432" w:rsidRPr="00C13428">
        <w:rPr>
          <w:rFonts w:ascii="Times New Roman" w:eastAsia="Times New Roman" w:hAnsi="Times New Roman" w:cs="Times New Roman"/>
        </w:rPr>
        <w:t xml:space="preserve">s as part of his </w:t>
      </w:r>
      <w:r w:rsidRPr="00C13428">
        <w:rPr>
          <w:rFonts w:ascii="Times New Roman" w:eastAsia="Times New Roman" w:hAnsi="Times New Roman" w:cs="Times New Roman"/>
        </w:rPr>
        <w:t xml:space="preserve">compensation </w:t>
      </w:r>
      <w:r w:rsidR="003A6432" w:rsidRPr="00C13428">
        <w:rPr>
          <w:rFonts w:ascii="Times New Roman" w:eastAsia="Times New Roman" w:hAnsi="Times New Roman" w:cs="Times New Roman"/>
        </w:rPr>
        <w:t xml:space="preserve">contract, an increase in the </w:t>
      </w:r>
      <w:r w:rsidRPr="00C13428">
        <w:rPr>
          <w:rFonts w:ascii="Times New Roman" w:eastAsia="Times New Roman" w:hAnsi="Times New Roman" w:cs="Times New Roman"/>
        </w:rPr>
        <w:t>volatility of oil or natural g</w:t>
      </w:r>
      <w:r w:rsidR="003A6432" w:rsidRPr="00C13428">
        <w:rPr>
          <w:rFonts w:ascii="Times New Roman" w:eastAsia="Times New Roman" w:hAnsi="Times New Roman" w:cs="Times New Roman"/>
        </w:rPr>
        <w:t xml:space="preserve">as prices will give him </w:t>
      </w:r>
      <w:r w:rsidRPr="00C13428">
        <w:rPr>
          <w:rFonts w:ascii="Times New Roman" w:eastAsia="Times New Roman" w:hAnsi="Times New Roman" w:cs="Times New Roman"/>
        </w:rPr>
        <w:t xml:space="preserve">an incentive </w:t>
      </w:r>
      <w:r w:rsidR="00991376" w:rsidRPr="00C13428">
        <w:rPr>
          <w:rFonts w:ascii="Times New Roman" w:eastAsia="Times New Roman" w:hAnsi="Times New Roman" w:cs="Times New Roman"/>
        </w:rPr>
        <w:t xml:space="preserve">not to </w:t>
      </w:r>
      <w:r w:rsidRPr="00C13428">
        <w:rPr>
          <w:rFonts w:ascii="Times New Roman" w:eastAsia="Times New Roman" w:hAnsi="Times New Roman" w:cs="Times New Roman"/>
        </w:rPr>
        <w:t xml:space="preserve">hedge because the value of his compensation package increases with the return volatility. </w:t>
      </w:r>
      <w:r w:rsidR="00991376" w:rsidRPr="00C13428">
        <w:rPr>
          <w:rFonts w:ascii="Times New Roman" w:eastAsia="Times New Roman" w:hAnsi="Times New Roman" w:cs="Times New Roman"/>
        </w:rPr>
        <w:t xml:space="preserve">In contrast, </w:t>
      </w:r>
      <w:r w:rsidR="00B11EFC" w:rsidRPr="00C13428">
        <w:rPr>
          <w:rFonts w:ascii="Times New Roman" w:eastAsia="Times New Roman" w:hAnsi="Times New Roman" w:cs="Times New Roman"/>
        </w:rPr>
        <w:t xml:space="preserve">CEOs who did not </w:t>
      </w:r>
      <w:r w:rsidR="0035322F" w:rsidRPr="00C13428">
        <w:rPr>
          <w:rFonts w:ascii="Times New Roman" w:eastAsia="Times New Roman" w:hAnsi="Times New Roman" w:cs="Times New Roman"/>
        </w:rPr>
        <w:t>receive</w:t>
      </w:r>
      <w:r w:rsidR="00B11EFC" w:rsidRPr="00C13428">
        <w:rPr>
          <w:rFonts w:ascii="Times New Roman" w:eastAsia="Times New Roman" w:hAnsi="Times New Roman" w:cs="Times New Roman"/>
        </w:rPr>
        <w:t xml:space="preserve"> options in their compensation (i.e., t</w:t>
      </w:r>
      <w:r w:rsidR="003A6432" w:rsidRPr="00C13428">
        <w:rPr>
          <w:rFonts w:ascii="Times New Roman" w:eastAsia="Times New Roman" w:hAnsi="Times New Roman" w:cs="Times New Roman"/>
        </w:rPr>
        <w:t>he first control group)</w:t>
      </w:r>
      <w:r w:rsidR="00991376" w:rsidRPr="00C13428">
        <w:rPr>
          <w:rFonts w:ascii="Times New Roman" w:eastAsia="Times New Roman" w:hAnsi="Times New Roman" w:cs="Times New Roman"/>
        </w:rPr>
        <w:t xml:space="preserve"> </w:t>
      </w:r>
      <w:r w:rsidR="003A6432" w:rsidRPr="00C13428">
        <w:rPr>
          <w:rFonts w:ascii="Times New Roman" w:eastAsia="Times New Roman" w:hAnsi="Times New Roman" w:cs="Times New Roman"/>
        </w:rPr>
        <w:t>would not</w:t>
      </w:r>
      <w:r w:rsidR="00B11EFC" w:rsidRPr="00C13428">
        <w:rPr>
          <w:rFonts w:ascii="Times New Roman" w:eastAsia="Times New Roman" w:hAnsi="Times New Roman" w:cs="Times New Roman"/>
        </w:rPr>
        <w:t xml:space="preserve"> be affected by this regime change in oil and gas price volatility. </w:t>
      </w:r>
      <w:r w:rsidRPr="00C13428">
        <w:rPr>
          <w:rFonts w:ascii="Times New Roman" w:eastAsia="Times New Roman" w:hAnsi="Times New Roman" w:cs="Times New Roman"/>
        </w:rPr>
        <w:t xml:space="preserve"> Therefore, the</w:t>
      </w:r>
      <w:r w:rsidR="00991376" w:rsidRPr="00C13428">
        <w:rPr>
          <w:rFonts w:ascii="Times New Roman" w:eastAsia="Times New Roman" w:hAnsi="Times New Roman" w:cs="Times New Roman"/>
        </w:rPr>
        <w:t xml:space="preserve"> differential effect</w:t>
      </w:r>
      <w:r w:rsidR="00B11EFC" w:rsidRPr="00C13428">
        <w:rPr>
          <w:rFonts w:ascii="Times New Roman" w:eastAsia="Times New Roman" w:hAnsi="Times New Roman" w:cs="Times New Roman"/>
        </w:rPr>
        <w:t xml:space="preserve"> of the</w:t>
      </w:r>
      <w:r w:rsidRPr="00C13428">
        <w:rPr>
          <w:rFonts w:ascii="Times New Roman" w:eastAsia="Times New Roman" w:hAnsi="Times New Roman" w:cs="Times New Roman"/>
        </w:rPr>
        <w:t xml:space="preserve"> increase in oil and gas price volatility</w:t>
      </w:r>
      <w:r w:rsidR="00B11EFC" w:rsidRPr="00C13428">
        <w:rPr>
          <w:rFonts w:ascii="Times New Roman" w:eastAsia="Times New Roman" w:hAnsi="Times New Roman" w:cs="Times New Roman"/>
        </w:rPr>
        <w:t xml:space="preserve"> on hedging</w:t>
      </w:r>
      <w:r w:rsidRPr="00C13428">
        <w:rPr>
          <w:rFonts w:ascii="Times New Roman" w:eastAsia="Times New Roman" w:hAnsi="Times New Roman" w:cs="Times New Roman"/>
        </w:rPr>
        <w:t xml:space="preserve"> </w:t>
      </w:r>
      <w:r w:rsidR="00B11EFC" w:rsidRPr="00C13428">
        <w:rPr>
          <w:rFonts w:ascii="Times New Roman" w:eastAsia="Times New Roman" w:hAnsi="Times New Roman" w:cs="Times New Roman"/>
        </w:rPr>
        <w:t>goes</w:t>
      </w:r>
      <w:r w:rsidRPr="00C13428">
        <w:rPr>
          <w:rFonts w:ascii="Times New Roman" w:eastAsia="Times New Roman" w:hAnsi="Times New Roman" w:cs="Times New Roman"/>
        </w:rPr>
        <w:t xml:space="preserve"> </w:t>
      </w:r>
      <w:r w:rsidR="00B11EFC" w:rsidRPr="00C13428">
        <w:rPr>
          <w:rFonts w:ascii="Times New Roman" w:eastAsia="Times New Roman" w:hAnsi="Times New Roman" w:cs="Times New Roman"/>
        </w:rPr>
        <w:t>against</w:t>
      </w:r>
      <w:r w:rsidRPr="00C13428">
        <w:rPr>
          <w:rFonts w:ascii="Times New Roman" w:eastAsia="Times New Roman" w:hAnsi="Times New Roman" w:cs="Times New Roman"/>
        </w:rPr>
        <w:t xml:space="preserve"> the effect of the reduction in </w:t>
      </w:r>
      <w:proofErr w:type="spellStart"/>
      <w:r w:rsidRPr="00C13428">
        <w:rPr>
          <w:rFonts w:ascii="Times New Roman" w:eastAsia="Times New Roman" w:hAnsi="Times New Roman" w:cs="Times New Roman"/>
        </w:rPr>
        <w:t>vega</w:t>
      </w:r>
      <w:proofErr w:type="spellEnd"/>
      <w:r w:rsidRPr="00C13428">
        <w:rPr>
          <w:rFonts w:ascii="Times New Roman" w:eastAsia="Times New Roman" w:hAnsi="Times New Roman" w:cs="Times New Roman"/>
        </w:rPr>
        <w:t xml:space="preserve"> due to </w:t>
      </w:r>
      <w:r w:rsidR="00D445F5">
        <w:rPr>
          <w:rFonts w:ascii="Times New Roman" w:eastAsia="Times New Roman" w:hAnsi="Times New Roman" w:cs="Times New Roman"/>
        </w:rPr>
        <w:t>FAS 123R</w:t>
      </w:r>
      <w:r w:rsidRPr="00C13428">
        <w:rPr>
          <w:rFonts w:ascii="Times New Roman" w:eastAsia="Times New Roman" w:hAnsi="Times New Roman" w:cs="Times New Roman"/>
        </w:rPr>
        <w:t>.</w:t>
      </w:r>
      <w:r w:rsidR="00B11EFC" w:rsidRPr="00C13428">
        <w:rPr>
          <w:rFonts w:ascii="Times New Roman" w:eastAsia="Times New Roman" w:hAnsi="Times New Roman" w:cs="Times New Roman"/>
        </w:rPr>
        <w:t xml:space="preserve"> </w:t>
      </w:r>
    </w:p>
    <w:p w:rsidR="00BF049A" w:rsidRPr="00C13428" w:rsidRDefault="00991376" w:rsidP="00C4437A">
      <w:pPr>
        <w:autoSpaceDE w:val="0"/>
        <w:autoSpaceDN w:val="0"/>
        <w:adjustRightInd w:val="0"/>
        <w:spacing w:after="120" w:line="480" w:lineRule="auto"/>
        <w:jc w:val="both"/>
        <w:rPr>
          <w:rFonts w:ascii="Times New Roman" w:eastAsia="Times New Roman" w:hAnsi="Times New Roman" w:cs="Times New Roman"/>
        </w:rPr>
      </w:pPr>
      <w:r w:rsidRPr="00C13428">
        <w:rPr>
          <w:rFonts w:ascii="Times New Roman" w:eastAsia="Times New Roman" w:hAnsi="Times New Roman" w:cs="Times New Roman"/>
        </w:rPr>
        <w:tab/>
      </w:r>
      <w:r w:rsidR="00B11EFC" w:rsidRPr="00C13428">
        <w:rPr>
          <w:rFonts w:ascii="Times New Roman" w:eastAsia="Times New Roman" w:hAnsi="Times New Roman" w:cs="Times New Roman"/>
        </w:rPr>
        <w:t>T</w:t>
      </w:r>
      <w:r w:rsidRPr="00C13428">
        <w:rPr>
          <w:rFonts w:ascii="Times New Roman" w:eastAsia="Times New Roman" w:hAnsi="Times New Roman" w:cs="Times New Roman"/>
        </w:rPr>
        <w:t>his differential effect could result in</w:t>
      </w:r>
      <w:r w:rsidR="00B11EFC" w:rsidRPr="00C13428">
        <w:rPr>
          <w:rFonts w:ascii="Times New Roman" w:eastAsia="Times New Roman" w:hAnsi="Times New Roman" w:cs="Times New Roman"/>
        </w:rPr>
        <w:t xml:space="preserve"> treated firms</w:t>
      </w:r>
      <w:r w:rsidR="00BF049A" w:rsidRPr="00C13428">
        <w:rPr>
          <w:rFonts w:ascii="Times New Roman" w:eastAsia="Times New Roman" w:hAnsi="Times New Roman" w:cs="Times New Roman"/>
        </w:rPr>
        <w:t xml:space="preserve"> </w:t>
      </w:r>
      <w:r w:rsidR="00B11EFC" w:rsidRPr="00C13428">
        <w:rPr>
          <w:rFonts w:ascii="Times New Roman" w:eastAsia="Times New Roman" w:hAnsi="Times New Roman" w:cs="Times New Roman"/>
        </w:rPr>
        <w:t>reducing</w:t>
      </w:r>
      <w:r w:rsidR="00BF049A" w:rsidRPr="00C13428">
        <w:rPr>
          <w:rFonts w:ascii="Times New Roman" w:eastAsia="Times New Roman" w:hAnsi="Times New Roman" w:cs="Times New Roman"/>
        </w:rPr>
        <w:t xml:space="preserve"> their hedges relative to the control group firms to ride the high </w:t>
      </w:r>
      <w:r w:rsidR="00B11EFC" w:rsidRPr="00C13428">
        <w:rPr>
          <w:rFonts w:ascii="Times New Roman" w:eastAsia="Times New Roman" w:hAnsi="Times New Roman" w:cs="Times New Roman"/>
        </w:rPr>
        <w:t xml:space="preserve">volatility even if CEO </w:t>
      </w:r>
      <w:proofErr w:type="spellStart"/>
      <w:proofErr w:type="gramStart"/>
      <w:r w:rsidR="00B11EFC" w:rsidRPr="00C13428">
        <w:rPr>
          <w:rFonts w:ascii="Times New Roman" w:eastAsia="Times New Roman" w:hAnsi="Times New Roman" w:cs="Times New Roman"/>
        </w:rPr>
        <w:t>vega</w:t>
      </w:r>
      <w:proofErr w:type="spellEnd"/>
      <w:proofErr w:type="gramEnd"/>
      <w:r w:rsidR="00B11EFC" w:rsidRPr="00C13428">
        <w:rPr>
          <w:rFonts w:ascii="Times New Roman" w:eastAsia="Times New Roman" w:hAnsi="Times New Roman" w:cs="Times New Roman"/>
        </w:rPr>
        <w:t xml:space="preserve"> declines post-</w:t>
      </w:r>
      <w:r w:rsidR="00D445F5">
        <w:rPr>
          <w:rFonts w:ascii="Times New Roman" w:eastAsia="Times New Roman" w:hAnsi="Times New Roman" w:cs="Times New Roman"/>
        </w:rPr>
        <w:t>FAS 123R</w:t>
      </w:r>
      <w:r w:rsidR="00BF049A" w:rsidRPr="00C13428">
        <w:rPr>
          <w:rFonts w:ascii="Times New Roman" w:eastAsia="Times New Roman" w:hAnsi="Times New Roman" w:cs="Times New Roman"/>
        </w:rPr>
        <w:t xml:space="preserve">. On the other hand, firms without option compensation will </w:t>
      </w:r>
      <w:r w:rsidR="00B11EFC" w:rsidRPr="00C13428">
        <w:rPr>
          <w:rFonts w:ascii="Times New Roman" w:eastAsia="Times New Roman" w:hAnsi="Times New Roman" w:cs="Times New Roman"/>
        </w:rPr>
        <w:t>not</w:t>
      </w:r>
      <w:r w:rsidR="00BF049A" w:rsidRPr="00C13428">
        <w:rPr>
          <w:rFonts w:ascii="Times New Roman" w:eastAsia="Times New Roman" w:hAnsi="Times New Roman" w:cs="Times New Roman"/>
        </w:rPr>
        <w:t xml:space="preserve"> reduce hedges when volatility picks up. This biases us against finding </w:t>
      </w:r>
      <w:r w:rsidR="00B11EFC" w:rsidRPr="00C13428">
        <w:rPr>
          <w:rFonts w:ascii="Times New Roman" w:eastAsia="Times New Roman" w:hAnsi="Times New Roman" w:cs="Times New Roman"/>
        </w:rPr>
        <w:t xml:space="preserve">any result associated with </w:t>
      </w:r>
      <w:r w:rsidR="00D445F5">
        <w:rPr>
          <w:rFonts w:ascii="Times New Roman" w:eastAsia="Times New Roman" w:hAnsi="Times New Roman" w:cs="Times New Roman"/>
        </w:rPr>
        <w:t>FAS 123R</w:t>
      </w:r>
      <w:r w:rsidR="00B11EFC" w:rsidRPr="00C13428">
        <w:rPr>
          <w:rFonts w:ascii="Times New Roman" w:eastAsia="Times New Roman" w:hAnsi="Times New Roman" w:cs="Times New Roman"/>
        </w:rPr>
        <w:t>. However, the documented increase in hedge ratios for the treated firms relative to the control firms after</w:t>
      </w:r>
      <w:r w:rsidR="00FD2081" w:rsidRPr="00C13428">
        <w:rPr>
          <w:rFonts w:ascii="Times New Roman" w:eastAsia="Times New Roman" w:hAnsi="Times New Roman" w:cs="Times New Roman"/>
        </w:rPr>
        <w:t xml:space="preserve"> </w:t>
      </w:r>
      <w:r w:rsidR="00D445F5">
        <w:rPr>
          <w:rFonts w:ascii="Times New Roman" w:eastAsia="Times New Roman" w:hAnsi="Times New Roman" w:cs="Times New Roman"/>
        </w:rPr>
        <w:t>FAS 123R</w:t>
      </w:r>
      <w:r w:rsidR="00B11EFC" w:rsidRPr="00C13428">
        <w:rPr>
          <w:rFonts w:ascii="Times New Roman" w:eastAsia="Times New Roman" w:hAnsi="Times New Roman" w:cs="Times New Roman"/>
        </w:rPr>
        <w:t xml:space="preserve"> (Figures 2 and 3 and also Tables 3 and 4) indicates that the effect of reduction in </w:t>
      </w:r>
      <w:proofErr w:type="spellStart"/>
      <w:proofErr w:type="gramStart"/>
      <w:r w:rsidR="00B11EFC" w:rsidRPr="00C13428">
        <w:rPr>
          <w:rFonts w:ascii="Times New Roman" w:eastAsia="Times New Roman" w:hAnsi="Times New Roman" w:cs="Times New Roman"/>
        </w:rPr>
        <w:t>vega</w:t>
      </w:r>
      <w:proofErr w:type="spellEnd"/>
      <w:proofErr w:type="gramEnd"/>
      <w:r w:rsidR="00B11EFC" w:rsidRPr="00C13428">
        <w:rPr>
          <w:rFonts w:ascii="Times New Roman" w:eastAsia="Times New Roman" w:hAnsi="Times New Roman" w:cs="Times New Roman"/>
        </w:rPr>
        <w:t xml:space="preserve"> is strong enough that it dominates</w:t>
      </w:r>
      <w:r w:rsidR="00537DFB" w:rsidRPr="00C13428">
        <w:rPr>
          <w:rFonts w:ascii="Times New Roman" w:eastAsia="Times New Roman" w:hAnsi="Times New Roman" w:cs="Times New Roman"/>
        </w:rPr>
        <w:t xml:space="preserve"> the differential</w:t>
      </w:r>
      <w:r w:rsidR="00B11EFC" w:rsidRPr="00C13428">
        <w:rPr>
          <w:rFonts w:ascii="Times New Roman" w:eastAsia="Times New Roman" w:hAnsi="Times New Roman" w:cs="Times New Roman"/>
        </w:rPr>
        <w:t xml:space="preserve"> effect of change of volatility.</w:t>
      </w:r>
    </w:p>
    <w:p w:rsidR="00637385" w:rsidRPr="00C13428" w:rsidRDefault="00991376" w:rsidP="002655C2">
      <w:pPr>
        <w:autoSpaceDE w:val="0"/>
        <w:autoSpaceDN w:val="0"/>
        <w:adjustRightInd w:val="0"/>
        <w:spacing w:after="120" w:line="480" w:lineRule="auto"/>
        <w:ind w:firstLine="720"/>
        <w:jc w:val="both"/>
        <w:rPr>
          <w:rFonts w:ascii="Times New Roman" w:eastAsia="Times New Roman" w:hAnsi="Times New Roman" w:cs="Times New Roman"/>
          <w:iCs/>
        </w:rPr>
      </w:pPr>
      <w:r w:rsidRPr="00C13428">
        <w:rPr>
          <w:rFonts w:ascii="Times New Roman" w:eastAsia="Times New Roman" w:hAnsi="Times New Roman" w:cs="Times New Roman"/>
        </w:rPr>
        <w:lastRenderedPageBreak/>
        <w:t>This differential</w:t>
      </w:r>
      <w:r w:rsidR="00B11EFC" w:rsidRPr="00C13428">
        <w:rPr>
          <w:rFonts w:ascii="Times New Roman" w:eastAsia="Times New Roman" w:hAnsi="Times New Roman" w:cs="Times New Roman"/>
        </w:rPr>
        <w:t xml:space="preserve"> effect can also help explain the drop in hedge</w:t>
      </w:r>
      <w:r w:rsidR="0035322F" w:rsidRPr="00C13428">
        <w:rPr>
          <w:rFonts w:ascii="Times New Roman" w:eastAsia="Times New Roman" w:hAnsi="Times New Roman" w:cs="Times New Roman"/>
        </w:rPr>
        <w:t xml:space="preserve"> ratios after </w:t>
      </w:r>
      <w:r w:rsidR="00D445F5">
        <w:rPr>
          <w:rFonts w:ascii="Times New Roman" w:eastAsia="Times New Roman" w:hAnsi="Times New Roman" w:cs="Times New Roman"/>
        </w:rPr>
        <w:t>FAS 123R</w:t>
      </w:r>
      <w:r w:rsidR="0035322F" w:rsidRPr="00C13428">
        <w:rPr>
          <w:rFonts w:ascii="Times New Roman" w:eastAsia="Times New Roman" w:hAnsi="Times New Roman" w:cs="Times New Roman"/>
        </w:rPr>
        <w:t xml:space="preserve"> for firms included in the second control group indicated in F</w:t>
      </w:r>
      <w:r w:rsidRPr="00C13428">
        <w:rPr>
          <w:rFonts w:ascii="Times New Roman" w:eastAsia="Times New Roman" w:hAnsi="Times New Roman" w:cs="Times New Roman"/>
        </w:rPr>
        <w:t>igure 2 and 3. These firms have</w:t>
      </w:r>
      <w:r w:rsidR="0035322F" w:rsidRPr="00C13428">
        <w:rPr>
          <w:rFonts w:ascii="Times New Roman" w:eastAsia="Times New Roman" w:hAnsi="Times New Roman" w:cs="Times New Roman"/>
        </w:rPr>
        <w:t xml:space="preserve"> on average similar CEO </w:t>
      </w:r>
      <w:proofErr w:type="spellStart"/>
      <w:proofErr w:type="gramStart"/>
      <w:r w:rsidR="0035322F" w:rsidRPr="00C13428">
        <w:rPr>
          <w:rFonts w:ascii="Times New Roman" w:eastAsia="Times New Roman" w:hAnsi="Times New Roman" w:cs="Times New Roman"/>
        </w:rPr>
        <w:t>vegas</w:t>
      </w:r>
      <w:proofErr w:type="spellEnd"/>
      <w:proofErr w:type="gramEnd"/>
      <w:r w:rsidR="0035322F" w:rsidRPr="00C13428">
        <w:rPr>
          <w:rFonts w:ascii="Times New Roman" w:eastAsia="Times New Roman" w:hAnsi="Times New Roman" w:cs="Times New Roman"/>
        </w:rPr>
        <w:t xml:space="preserve"> to the treated firms. Thus, the indirect effect of the increase in oil and gas price volatility causes the drop in their hedge ratios. However the strong effect of the drop in </w:t>
      </w:r>
      <w:proofErr w:type="spellStart"/>
      <w:proofErr w:type="gramStart"/>
      <w:r w:rsidR="0035322F" w:rsidRPr="00C13428">
        <w:rPr>
          <w:rFonts w:ascii="Times New Roman" w:eastAsia="Times New Roman" w:hAnsi="Times New Roman" w:cs="Times New Roman"/>
        </w:rPr>
        <w:t>vega</w:t>
      </w:r>
      <w:proofErr w:type="spellEnd"/>
      <w:proofErr w:type="gramEnd"/>
      <w:r w:rsidR="0035322F" w:rsidRPr="00C13428">
        <w:rPr>
          <w:rFonts w:ascii="Times New Roman" w:eastAsia="Times New Roman" w:hAnsi="Times New Roman" w:cs="Times New Roman"/>
        </w:rPr>
        <w:t xml:space="preserve"> following </w:t>
      </w:r>
      <w:r w:rsidR="00D445F5">
        <w:rPr>
          <w:rFonts w:ascii="Times New Roman" w:eastAsia="Times New Roman" w:hAnsi="Times New Roman" w:cs="Times New Roman"/>
        </w:rPr>
        <w:t>FAS 123R</w:t>
      </w:r>
      <w:r w:rsidR="0035322F" w:rsidRPr="00C13428">
        <w:rPr>
          <w:rFonts w:ascii="Times New Roman" w:eastAsia="Times New Roman" w:hAnsi="Times New Roman" w:cs="Times New Roman"/>
        </w:rPr>
        <w:t xml:space="preserve"> on the treated firms overpowers the indirect effect of the regime shift in volatility and results in an increase in hedge ratios for the treated firms post 2005.  Another explanation for the </w:t>
      </w:r>
      <w:r w:rsidR="0035322F" w:rsidRPr="00C13428">
        <w:rPr>
          <w:rFonts w:ascii="Times New Roman" w:eastAsia="Times New Roman" w:hAnsi="Times New Roman" w:cs="Times New Roman"/>
          <w:iCs/>
        </w:rPr>
        <w:t xml:space="preserve">decrease in hedging for the control group firms after the regulation change is the slight increase in CEO </w:t>
      </w:r>
      <w:proofErr w:type="spellStart"/>
      <w:proofErr w:type="gramStart"/>
      <w:r w:rsidR="0035322F" w:rsidRPr="00C13428">
        <w:rPr>
          <w:rFonts w:ascii="Times New Roman" w:eastAsia="Times New Roman" w:hAnsi="Times New Roman" w:cs="Times New Roman"/>
          <w:iCs/>
        </w:rPr>
        <w:t>vega</w:t>
      </w:r>
      <w:proofErr w:type="spellEnd"/>
      <w:proofErr w:type="gramEnd"/>
      <w:r w:rsidR="0035322F" w:rsidRPr="00C13428">
        <w:rPr>
          <w:rFonts w:ascii="Times New Roman" w:eastAsia="Times New Roman" w:hAnsi="Times New Roman" w:cs="Times New Roman"/>
          <w:iCs/>
        </w:rPr>
        <w:t xml:space="preserve"> of these firms. Firms in both control groups experience an increase in their CEOs </w:t>
      </w:r>
      <w:proofErr w:type="spellStart"/>
      <w:proofErr w:type="gramStart"/>
      <w:r w:rsidR="0035322F" w:rsidRPr="00C13428">
        <w:rPr>
          <w:rFonts w:ascii="Times New Roman" w:eastAsia="Times New Roman" w:hAnsi="Times New Roman" w:cs="Times New Roman"/>
          <w:iCs/>
        </w:rPr>
        <w:t>vega</w:t>
      </w:r>
      <w:proofErr w:type="spellEnd"/>
      <w:proofErr w:type="gramEnd"/>
      <w:r w:rsidR="0035322F" w:rsidRPr="00C13428">
        <w:rPr>
          <w:rFonts w:ascii="Times New Roman" w:eastAsia="Times New Roman" w:hAnsi="Times New Roman" w:cs="Times New Roman"/>
          <w:iCs/>
        </w:rPr>
        <w:t xml:space="preserve"> after 2005 which is illustrated in Figure 1. This increase also results in lower incentives to hedge.</w:t>
      </w:r>
      <w:r w:rsidR="00FD2081" w:rsidRPr="00C13428">
        <w:rPr>
          <w:rFonts w:ascii="Times New Roman" w:eastAsia="Times New Roman" w:hAnsi="Times New Roman" w:cs="Times New Roman"/>
          <w:iCs/>
        </w:rPr>
        <w:t xml:space="preserve"> </w:t>
      </w:r>
    </w:p>
    <w:p w:rsidR="00FD2081" w:rsidRDefault="00FD2081" w:rsidP="00FD2081">
      <w:pPr>
        <w:autoSpaceDE w:val="0"/>
        <w:autoSpaceDN w:val="0"/>
        <w:adjustRightInd w:val="0"/>
        <w:spacing w:after="120" w:line="480" w:lineRule="auto"/>
        <w:ind w:firstLine="720"/>
        <w:jc w:val="both"/>
        <w:rPr>
          <w:rFonts w:ascii="Times New Roman" w:eastAsia="Times New Roman" w:hAnsi="Times New Roman" w:cs="Times New Roman"/>
          <w:iCs/>
        </w:rPr>
      </w:pPr>
      <w:r w:rsidRPr="00C13428">
        <w:rPr>
          <w:rFonts w:ascii="Times New Roman" w:eastAsia="Times New Roman" w:hAnsi="Times New Roman" w:cs="Times New Roman"/>
          <w:iCs/>
        </w:rPr>
        <w:t xml:space="preserve">There could be other possible explanations why control firms </w:t>
      </w:r>
      <w:r w:rsidR="004C6901">
        <w:rPr>
          <w:rFonts w:ascii="Times New Roman" w:eastAsia="Times New Roman" w:hAnsi="Times New Roman" w:cs="Times New Roman"/>
          <w:iCs/>
        </w:rPr>
        <w:t>hedge</w:t>
      </w:r>
      <w:r w:rsidRPr="00C13428">
        <w:rPr>
          <w:rFonts w:ascii="Times New Roman" w:eastAsia="Times New Roman" w:hAnsi="Times New Roman" w:cs="Times New Roman"/>
          <w:iCs/>
        </w:rPr>
        <w:t xml:space="preserve"> less post-FAS 123R. However, as the control group is designed to pick up any trends in hedging that would be present even without the regulation change, our main results are not dependent on what caused these downward trends. As long as the downward trends affected the treatment and control firms that same (i.e. the parallel trends assumption is satisfied), we can safely conclude that increase in hedging observed in the treated firms is due to the exogenous reduction in </w:t>
      </w:r>
      <w:proofErr w:type="spellStart"/>
      <w:proofErr w:type="gramStart"/>
      <w:r w:rsidRPr="00C13428">
        <w:rPr>
          <w:rFonts w:ascii="Times New Roman" w:eastAsia="Times New Roman" w:hAnsi="Times New Roman" w:cs="Times New Roman"/>
          <w:iCs/>
        </w:rPr>
        <w:t>vega</w:t>
      </w:r>
      <w:proofErr w:type="spellEnd"/>
      <w:proofErr w:type="gramEnd"/>
      <w:r w:rsidRPr="00C13428">
        <w:rPr>
          <w:rFonts w:ascii="Times New Roman" w:eastAsia="Times New Roman" w:hAnsi="Times New Roman" w:cs="Times New Roman"/>
          <w:iCs/>
        </w:rPr>
        <w:t xml:space="preserve">. Overall, this illustrates why our DID methodology is key of identifying the affect of FAS 123R on hedging. </w:t>
      </w:r>
    </w:p>
    <w:p w:rsidR="002655C2" w:rsidRDefault="002655C2" w:rsidP="00FD2081">
      <w:pPr>
        <w:autoSpaceDE w:val="0"/>
        <w:autoSpaceDN w:val="0"/>
        <w:adjustRightInd w:val="0"/>
        <w:spacing w:after="120" w:line="480" w:lineRule="auto"/>
        <w:ind w:firstLine="720"/>
        <w:jc w:val="both"/>
        <w:rPr>
          <w:rFonts w:ascii="Times New Roman" w:eastAsia="Times New Roman" w:hAnsi="Times New Roman" w:cs="Times New Roman"/>
          <w:iCs/>
        </w:rPr>
      </w:pPr>
      <w:r>
        <w:rPr>
          <w:rFonts w:ascii="Times New Roman" w:eastAsia="Times New Roman" w:hAnsi="Times New Roman" w:cs="Times New Roman"/>
          <w:iCs/>
        </w:rPr>
        <w:t xml:space="preserve">Finally, we screen our entire sample to </w:t>
      </w:r>
      <w:r w:rsidR="000147D0">
        <w:rPr>
          <w:rFonts w:ascii="Times New Roman" w:eastAsia="Times New Roman" w:hAnsi="Times New Roman" w:cs="Times New Roman"/>
          <w:iCs/>
        </w:rPr>
        <w:t xml:space="preserve">check </w:t>
      </w:r>
      <w:r>
        <w:rPr>
          <w:rFonts w:ascii="Times New Roman" w:eastAsia="Times New Roman" w:hAnsi="Times New Roman" w:cs="Times New Roman"/>
          <w:iCs/>
        </w:rPr>
        <w:t xml:space="preserve">for the possibility raised by Bettis et al. (2010) that firms may have substituted stock grants with performance-based vesting provisions </w:t>
      </w:r>
      <w:r w:rsidR="000147D0">
        <w:rPr>
          <w:rFonts w:ascii="Times New Roman" w:eastAsia="Times New Roman" w:hAnsi="Times New Roman" w:cs="Times New Roman"/>
          <w:iCs/>
        </w:rPr>
        <w:t xml:space="preserve">to reintroduce convexity in compensation contracts following FAS 123R. </w:t>
      </w:r>
      <w:r w:rsidR="000147D0" w:rsidRPr="000147D0">
        <w:rPr>
          <w:rFonts w:ascii="Times New Roman" w:eastAsia="Times New Roman" w:hAnsi="Times New Roman" w:cs="Times New Roman"/>
          <w:iCs/>
        </w:rPr>
        <w:t>The presence of performance-</w:t>
      </w:r>
      <w:r w:rsidR="000147D0">
        <w:rPr>
          <w:rFonts w:ascii="Times New Roman" w:eastAsia="Times New Roman" w:hAnsi="Times New Roman" w:cs="Times New Roman"/>
          <w:iCs/>
        </w:rPr>
        <w:t xml:space="preserve">based </w:t>
      </w:r>
      <w:r w:rsidR="000147D0" w:rsidRPr="000147D0">
        <w:rPr>
          <w:rFonts w:ascii="Times New Roman" w:eastAsia="Times New Roman" w:hAnsi="Times New Roman" w:cs="Times New Roman"/>
          <w:iCs/>
        </w:rPr>
        <w:t>vesting provisions in our sample is minimal</w:t>
      </w:r>
      <w:r w:rsidR="000147D0">
        <w:rPr>
          <w:rFonts w:ascii="Times New Roman" w:eastAsia="Times New Roman" w:hAnsi="Times New Roman" w:cs="Times New Roman"/>
          <w:iCs/>
        </w:rPr>
        <w:t>, which is consistent with the finding of Bettis et al. (2010) that such provisions are more likely in the case of firms that are complex, i.e., unlike the firms in our sample.</w:t>
      </w:r>
      <w:r w:rsidR="000147D0" w:rsidRPr="000147D0">
        <w:rPr>
          <w:rFonts w:ascii="Times New Roman" w:eastAsia="Times New Roman" w:hAnsi="Times New Roman" w:cs="Times New Roman"/>
          <w:iCs/>
        </w:rPr>
        <w:t xml:space="preserve"> </w:t>
      </w:r>
      <w:r w:rsidR="000147D0">
        <w:rPr>
          <w:rFonts w:ascii="Times New Roman" w:eastAsia="Times New Roman" w:hAnsi="Times New Roman" w:cs="Times New Roman"/>
          <w:iCs/>
        </w:rPr>
        <w:t xml:space="preserve">We find that six firms in our subsample of treated firms awarded a modest level of compensation spanning the FAS 123R implementation subject to performance-based vesting provisions. Having such provisions </w:t>
      </w:r>
      <w:r w:rsidR="000147D0" w:rsidRPr="000147D0">
        <w:rPr>
          <w:rFonts w:ascii="Times New Roman" w:eastAsia="Times New Roman" w:hAnsi="Times New Roman" w:cs="Times New Roman"/>
          <w:iCs/>
        </w:rPr>
        <w:t>confined only to a few of our treated firms</w:t>
      </w:r>
      <w:r w:rsidR="00263B8C">
        <w:rPr>
          <w:rFonts w:ascii="Times New Roman" w:eastAsia="Times New Roman" w:hAnsi="Times New Roman" w:cs="Times New Roman"/>
          <w:iCs/>
        </w:rPr>
        <w:t xml:space="preserve"> should create </w:t>
      </w:r>
      <w:r w:rsidR="000147D0" w:rsidRPr="000147D0">
        <w:rPr>
          <w:rFonts w:ascii="Times New Roman" w:eastAsia="Times New Roman" w:hAnsi="Times New Roman" w:cs="Times New Roman"/>
          <w:iCs/>
        </w:rPr>
        <w:t xml:space="preserve">bias against finding our results. Nonetheless, </w:t>
      </w:r>
      <w:r w:rsidR="00263B8C">
        <w:rPr>
          <w:rFonts w:ascii="Times New Roman" w:eastAsia="Times New Roman" w:hAnsi="Times New Roman" w:cs="Times New Roman"/>
          <w:iCs/>
        </w:rPr>
        <w:t xml:space="preserve">in </w:t>
      </w:r>
      <w:proofErr w:type="spellStart"/>
      <w:r w:rsidR="00263B8C">
        <w:rPr>
          <w:rFonts w:ascii="Times New Roman" w:eastAsia="Times New Roman" w:hAnsi="Times New Roman" w:cs="Times New Roman"/>
          <w:iCs/>
        </w:rPr>
        <w:t>untabulated</w:t>
      </w:r>
      <w:proofErr w:type="spellEnd"/>
      <w:r w:rsidR="00263B8C">
        <w:rPr>
          <w:rFonts w:ascii="Times New Roman" w:eastAsia="Times New Roman" w:hAnsi="Times New Roman" w:cs="Times New Roman"/>
          <w:iCs/>
        </w:rPr>
        <w:t xml:space="preserve"> work </w:t>
      </w:r>
      <w:r w:rsidR="000147D0" w:rsidRPr="000147D0">
        <w:rPr>
          <w:rFonts w:ascii="Times New Roman" w:eastAsia="Times New Roman" w:hAnsi="Times New Roman" w:cs="Times New Roman"/>
          <w:iCs/>
        </w:rPr>
        <w:t>we verify that our results persist when these firms are removed from the sample.</w:t>
      </w:r>
    </w:p>
    <w:p w:rsidR="000B32F3" w:rsidRDefault="00645ECD" w:rsidP="00FD2081">
      <w:pPr>
        <w:autoSpaceDE w:val="0"/>
        <w:autoSpaceDN w:val="0"/>
        <w:adjustRightInd w:val="0"/>
        <w:spacing w:after="120" w:line="480" w:lineRule="auto"/>
        <w:ind w:firstLine="720"/>
        <w:jc w:val="both"/>
        <w:rPr>
          <w:rFonts w:ascii="Times New Roman" w:eastAsia="Times New Roman" w:hAnsi="Times New Roman" w:cs="Times New Roman"/>
          <w:iCs/>
        </w:rPr>
      </w:pPr>
      <w:r>
        <w:rPr>
          <w:rFonts w:ascii="Times New Roman" w:eastAsia="Times New Roman" w:hAnsi="Times New Roman" w:cs="Times New Roman"/>
          <w:iCs/>
        </w:rPr>
        <w:lastRenderedPageBreak/>
        <w:t xml:space="preserve">At first glance our results seem inconsistent with </w:t>
      </w:r>
      <w:r w:rsidRPr="00565C31">
        <w:rPr>
          <w:rFonts w:ascii="Times New Roman" w:hAnsi="Times New Roman" w:cs="Times New Roman"/>
        </w:rPr>
        <w:t xml:space="preserve">Hayes, Lemmon and </w:t>
      </w:r>
      <w:proofErr w:type="spellStart"/>
      <w:r w:rsidRPr="00565C31">
        <w:rPr>
          <w:rFonts w:ascii="Times New Roman" w:hAnsi="Times New Roman" w:cs="Times New Roman"/>
        </w:rPr>
        <w:t>Qiu</w:t>
      </w:r>
      <w:proofErr w:type="spellEnd"/>
      <w:r w:rsidRPr="00565C31">
        <w:rPr>
          <w:rFonts w:ascii="Times New Roman" w:hAnsi="Times New Roman" w:cs="Times New Roman"/>
        </w:rPr>
        <w:t xml:space="preserve"> (2012)</w:t>
      </w:r>
      <w:r>
        <w:rPr>
          <w:rFonts w:ascii="Times New Roman" w:hAnsi="Times New Roman" w:cs="Times New Roman"/>
        </w:rPr>
        <w:t xml:space="preserve">. </w:t>
      </w:r>
      <w:r>
        <w:rPr>
          <w:rFonts w:ascii="Times New Roman" w:eastAsia="Times New Roman" w:hAnsi="Times New Roman" w:cs="Times New Roman"/>
          <w:iCs/>
        </w:rPr>
        <w:t>Using</w:t>
      </w:r>
      <w:r w:rsidR="00AA17D2">
        <w:rPr>
          <w:rFonts w:ascii="Times New Roman" w:eastAsia="Times New Roman" w:hAnsi="Times New Roman" w:cs="Times New Roman"/>
          <w:iCs/>
        </w:rPr>
        <w:t xml:space="preserve"> FAS 123R </w:t>
      </w:r>
      <w:r>
        <w:rPr>
          <w:rFonts w:ascii="Times New Roman" w:eastAsia="Times New Roman" w:hAnsi="Times New Roman" w:cs="Times New Roman"/>
          <w:iCs/>
        </w:rPr>
        <w:t xml:space="preserve">they investigate </w:t>
      </w:r>
      <w:r w:rsidR="00AA17D2">
        <w:rPr>
          <w:rFonts w:ascii="Times New Roman" w:eastAsia="Times New Roman" w:hAnsi="Times New Roman" w:cs="Times New Roman"/>
          <w:iCs/>
        </w:rPr>
        <w:t>changes in managerial risk-taking incent</w:t>
      </w:r>
      <w:r>
        <w:rPr>
          <w:rFonts w:ascii="Times New Roman" w:eastAsia="Times New Roman" w:hAnsi="Times New Roman" w:cs="Times New Roman"/>
          <w:iCs/>
        </w:rPr>
        <w:t xml:space="preserve">ives </w:t>
      </w:r>
      <w:r w:rsidR="00AA17D2">
        <w:rPr>
          <w:rFonts w:ascii="Times New Roman" w:eastAsia="Times New Roman" w:hAnsi="Times New Roman" w:cs="Times New Roman"/>
          <w:iCs/>
        </w:rPr>
        <w:t>on corporate financial policies</w:t>
      </w:r>
      <w:r>
        <w:rPr>
          <w:rFonts w:ascii="Times New Roman" w:eastAsia="Times New Roman" w:hAnsi="Times New Roman" w:cs="Times New Roman"/>
          <w:iCs/>
        </w:rPr>
        <w:t xml:space="preserve"> such as leverage, cash, capital expenditure and R&amp;D</w:t>
      </w:r>
      <w:r w:rsidR="00AA17D2">
        <w:rPr>
          <w:rFonts w:ascii="Times New Roman" w:eastAsia="Times New Roman" w:hAnsi="Times New Roman" w:cs="Times New Roman"/>
          <w:iCs/>
        </w:rPr>
        <w:t xml:space="preserve">. </w:t>
      </w:r>
      <w:r>
        <w:rPr>
          <w:rFonts w:ascii="Times New Roman" w:eastAsia="Times New Roman" w:hAnsi="Times New Roman" w:cs="Times New Roman"/>
          <w:iCs/>
        </w:rPr>
        <w:t>However, when we replicate their specifications (see Table 6) we do find similar results. That is we find little evidence that the adoption of FAS 123R leads to significant changes in capital expenditures, leverage or cash during the event window.</w:t>
      </w:r>
      <w:r w:rsidR="00E71E9E">
        <w:rPr>
          <w:rStyle w:val="FootnoteReference"/>
          <w:rFonts w:ascii="Times New Roman" w:eastAsia="Times New Roman" w:hAnsi="Times New Roman" w:cs="Times New Roman"/>
          <w:iCs/>
        </w:rPr>
        <w:footnoteReference w:id="27"/>
      </w:r>
      <w:r>
        <w:rPr>
          <w:rFonts w:ascii="Times New Roman" w:eastAsia="Times New Roman" w:hAnsi="Times New Roman" w:cs="Times New Roman"/>
          <w:iCs/>
        </w:rPr>
        <w:t xml:space="preserve"> This is comforting since it assures that our results regarding hedging are not an artifact of our specialized industry sample.</w:t>
      </w:r>
      <w:r w:rsidR="00E71E9E">
        <w:rPr>
          <w:rStyle w:val="FootnoteReference"/>
          <w:rFonts w:ascii="Times New Roman" w:eastAsia="Times New Roman" w:hAnsi="Times New Roman" w:cs="Times New Roman"/>
          <w:iCs/>
        </w:rPr>
        <w:footnoteReference w:id="28"/>
      </w:r>
    </w:p>
    <w:p w:rsidR="00792E9B" w:rsidRPr="00944BB1" w:rsidRDefault="00944BB1" w:rsidP="00944BB1">
      <w:pPr>
        <w:pStyle w:val="ListParagraph"/>
        <w:widowControl w:val="0"/>
        <w:autoSpaceDE w:val="0"/>
        <w:autoSpaceDN w:val="0"/>
        <w:adjustRightInd w:val="0"/>
        <w:spacing w:after="0" w:line="480" w:lineRule="auto"/>
        <w:ind w:left="0"/>
        <w:jc w:val="center"/>
        <w:rPr>
          <w:rFonts w:ascii="Times New Roman" w:hAnsi="Times New Roman" w:cs="Times New Roman"/>
        </w:rPr>
      </w:pPr>
      <w:r>
        <w:rPr>
          <w:rFonts w:ascii="Times New Roman" w:hAnsi="Times New Roman" w:cs="Times New Roman"/>
        </w:rPr>
        <w:t>[Insert Table 6 here]</w:t>
      </w:r>
    </w:p>
    <w:p w:rsidR="00AB3F63" w:rsidRDefault="00970254" w:rsidP="00FD2081">
      <w:pPr>
        <w:autoSpaceDE w:val="0"/>
        <w:autoSpaceDN w:val="0"/>
        <w:adjustRightInd w:val="0"/>
        <w:spacing w:after="120" w:line="480" w:lineRule="auto"/>
        <w:ind w:firstLine="720"/>
        <w:jc w:val="both"/>
        <w:rPr>
          <w:rFonts w:ascii="Times New Roman" w:eastAsia="Times New Roman" w:hAnsi="Times New Roman" w:cs="Times New Roman"/>
          <w:iCs/>
        </w:rPr>
      </w:pPr>
      <w:r>
        <w:rPr>
          <w:rFonts w:ascii="Times New Roman" w:eastAsia="Times New Roman" w:hAnsi="Times New Roman" w:cs="Times New Roman"/>
          <w:iCs/>
        </w:rPr>
        <w:t xml:space="preserve">Our </w:t>
      </w:r>
      <w:r w:rsidR="00622AB5">
        <w:rPr>
          <w:rFonts w:ascii="Times New Roman" w:eastAsia="Times New Roman" w:hAnsi="Times New Roman" w:cs="Times New Roman"/>
          <w:iCs/>
        </w:rPr>
        <w:t>findings of a causal e</w:t>
      </w:r>
      <w:r w:rsidR="003652B0">
        <w:rPr>
          <w:rFonts w:ascii="Times New Roman" w:eastAsia="Times New Roman" w:hAnsi="Times New Roman" w:cs="Times New Roman"/>
          <w:iCs/>
        </w:rPr>
        <w:t>ffect of FAS</w:t>
      </w:r>
      <w:r w:rsidR="00A7118B">
        <w:rPr>
          <w:rFonts w:ascii="Times New Roman" w:eastAsia="Times New Roman" w:hAnsi="Times New Roman" w:cs="Times New Roman"/>
          <w:iCs/>
        </w:rPr>
        <w:t xml:space="preserve"> </w:t>
      </w:r>
      <w:r w:rsidR="003652B0">
        <w:rPr>
          <w:rFonts w:ascii="Times New Roman" w:eastAsia="Times New Roman" w:hAnsi="Times New Roman" w:cs="Times New Roman"/>
          <w:iCs/>
        </w:rPr>
        <w:t>123R on hedging are</w:t>
      </w:r>
      <w:r>
        <w:rPr>
          <w:rFonts w:ascii="Times New Roman" w:eastAsia="Times New Roman" w:hAnsi="Times New Roman" w:cs="Times New Roman"/>
          <w:iCs/>
        </w:rPr>
        <w:t xml:space="preserve"> likely due to </w:t>
      </w:r>
      <w:r w:rsidR="00622AB5">
        <w:rPr>
          <w:rFonts w:ascii="Times New Roman" w:eastAsia="Times New Roman" w:hAnsi="Times New Roman" w:cs="Times New Roman"/>
          <w:iCs/>
        </w:rPr>
        <w:t>the</w:t>
      </w:r>
      <w:r>
        <w:rPr>
          <w:rFonts w:ascii="Times New Roman" w:eastAsia="Times New Roman" w:hAnsi="Times New Roman" w:cs="Times New Roman"/>
          <w:iCs/>
        </w:rPr>
        <w:t xml:space="preserve"> </w:t>
      </w:r>
      <w:r w:rsidR="00622AB5">
        <w:rPr>
          <w:rFonts w:ascii="Times New Roman" w:eastAsia="Times New Roman" w:hAnsi="Times New Roman" w:cs="Times New Roman"/>
          <w:iCs/>
        </w:rPr>
        <w:t>relative ease of changing</w:t>
      </w:r>
      <w:r>
        <w:rPr>
          <w:rFonts w:ascii="Times New Roman" w:eastAsia="Times New Roman" w:hAnsi="Times New Roman" w:cs="Times New Roman"/>
          <w:iCs/>
        </w:rPr>
        <w:t xml:space="preserve"> hedging policies. In contrast changes to investment and leverage policies are likely to incur higher adjustment costs</w:t>
      </w:r>
      <w:r w:rsidR="00622AB5">
        <w:rPr>
          <w:rFonts w:ascii="Times New Roman" w:eastAsia="Times New Roman" w:hAnsi="Times New Roman" w:cs="Times New Roman"/>
          <w:iCs/>
        </w:rPr>
        <w:t xml:space="preserve"> (see Cooper and </w:t>
      </w:r>
      <w:proofErr w:type="spellStart"/>
      <w:r w:rsidR="00622AB5">
        <w:rPr>
          <w:rFonts w:ascii="Times New Roman" w:eastAsia="Times New Roman" w:hAnsi="Times New Roman" w:cs="Times New Roman"/>
          <w:iCs/>
        </w:rPr>
        <w:t>Haltiwanger</w:t>
      </w:r>
      <w:proofErr w:type="spellEnd"/>
      <w:r w:rsidR="006442E9">
        <w:rPr>
          <w:rFonts w:ascii="Times New Roman" w:eastAsia="Times New Roman" w:hAnsi="Times New Roman" w:cs="Times New Roman"/>
          <w:iCs/>
        </w:rPr>
        <w:t xml:space="preserve">, </w:t>
      </w:r>
      <w:r w:rsidR="00622AB5">
        <w:rPr>
          <w:rFonts w:ascii="Times New Roman" w:eastAsia="Times New Roman" w:hAnsi="Times New Roman" w:cs="Times New Roman"/>
          <w:iCs/>
        </w:rPr>
        <w:t>2006</w:t>
      </w:r>
      <w:r w:rsidR="006442E9">
        <w:rPr>
          <w:rFonts w:ascii="Times New Roman" w:eastAsia="Times New Roman" w:hAnsi="Times New Roman" w:cs="Times New Roman"/>
          <w:iCs/>
        </w:rPr>
        <w:t>;</w:t>
      </w:r>
      <w:r w:rsidR="00622AB5">
        <w:rPr>
          <w:rFonts w:ascii="Times New Roman" w:eastAsia="Times New Roman" w:hAnsi="Times New Roman" w:cs="Times New Roman"/>
          <w:iCs/>
        </w:rPr>
        <w:t xml:space="preserve"> and </w:t>
      </w:r>
      <w:proofErr w:type="spellStart"/>
      <w:r w:rsidR="006442E9">
        <w:rPr>
          <w:rFonts w:ascii="Times New Roman" w:eastAsia="Times New Roman" w:hAnsi="Times New Roman" w:cs="Times New Roman"/>
          <w:iCs/>
        </w:rPr>
        <w:t>Strebulaev</w:t>
      </w:r>
      <w:proofErr w:type="spellEnd"/>
      <w:r w:rsidR="006442E9">
        <w:rPr>
          <w:rFonts w:ascii="Times New Roman" w:eastAsia="Times New Roman" w:hAnsi="Times New Roman" w:cs="Times New Roman"/>
          <w:iCs/>
        </w:rPr>
        <w:t xml:space="preserve">, </w:t>
      </w:r>
      <w:r w:rsidR="00622AB5">
        <w:rPr>
          <w:rFonts w:ascii="Times New Roman" w:eastAsia="Times New Roman" w:hAnsi="Times New Roman" w:cs="Times New Roman"/>
          <w:iCs/>
        </w:rPr>
        <w:t>2007 respectively)</w:t>
      </w:r>
      <w:r>
        <w:rPr>
          <w:rFonts w:ascii="Times New Roman" w:eastAsia="Times New Roman" w:hAnsi="Times New Roman" w:cs="Times New Roman"/>
          <w:iCs/>
        </w:rPr>
        <w:t xml:space="preserve">. Therefore in our relatively short event window these differences in adjustment costs may explain why </w:t>
      </w:r>
      <w:r w:rsidR="00622AB5">
        <w:rPr>
          <w:rFonts w:ascii="Times New Roman" w:eastAsia="Times New Roman" w:hAnsi="Times New Roman" w:cs="Times New Roman"/>
          <w:iCs/>
        </w:rPr>
        <w:t>the impact of FAS</w:t>
      </w:r>
      <w:r w:rsidR="00A7118B">
        <w:rPr>
          <w:rFonts w:ascii="Times New Roman" w:eastAsia="Times New Roman" w:hAnsi="Times New Roman" w:cs="Times New Roman"/>
          <w:iCs/>
        </w:rPr>
        <w:t xml:space="preserve"> </w:t>
      </w:r>
      <w:r w:rsidR="00622AB5">
        <w:rPr>
          <w:rFonts w:ascii="Times New Roman" w:eastAsia="Times New Roman" w:hAnsi="Times New Roman" w:cs="Times New Roman"/>
          <w:iCs/>
        </w:rPr>
        <w:t>123R manifests itself in hedging rather than in other slower moving corporate variables such as those studied by Hayes et.al (2012).</w:t>
      </w:r>
    </w:p>
    <w:p w:rsidR="00C13E90" w:rsidRDefault="00C13E90" w:rsidP="00E74BAF">
      <w:pPr>
        <w:autoSpaceDE w:val="0"/>
        <w:autoSpaceDN w:val="0"/>
        <w:adjustRightInd w:val="0"/>
        <w:spacing w:after="120" w:line="480" w:lineRule="auto"/>
        <w:jc w:val="both"/>
        <w:rPr>
          <w:rFonts w:ascii="Times New Roman" w:eastAsia="Times New Roman" w:hAnsi="Times New Roman" w:cs="Times New Roman"/>
          <w:b/>
          <w:bCs/>
        </w:rPr>
      </w:pPr>
    </w:p>
    <w:p w:rsidR="005E41DA" w:rsidRPr="00C13428" w:rsidRDefault="00AB3F63" w:rsidP="00E74BAF">
      <w:pPr>
        <w:autoSpaceDE w:val="0"/>
        <w:autoSpaceDN w:val="0"/>
        <w:adjustRightInd w:val="0"/>
        <w:spacing w:after="120" w:line="480" w:lineRule="auto"/>
        <w:jc w:val="both"/>
        <w:rPr>
          <w:rFonts w:ascii="Times New Roman" w:eastAsia="Times New Roman" w:hAnsi="Times New Roman" w:cs="Times New Roman"/>
          <w:iCs/>
        </w:rPr>
      </w:pPr>
      <w:r>
        <w:rPr>
          <w:rFonts w:ascii="Times New Roman" w:eastAsia="Times New Roman" w:hAnsi="Times New Roman" w:cs="Times New Roman"/>
          <w:b/>
          <w:bCs/>
        </w:rPr>
        <w:t>6.</w:t>
      </w:r>
      <w:r>
        <w:rPr>
          <w:rFonts w:ascii="Times New Roman" w:eastAsia="Times New Roman" w:hAnsi="Times New Roman" w:cs="Times New Roman"/>
          <w:b/>
          <w:bCs/>
        </w:rPr>
        <w:tab/>
      </w:r>
      <w:r w:rsidR="005E41DA">
        <w:rPr>
          <w:rFonts w:ascii="Times New Roman" w:eastAsia="Times New Roman" w:hAnsi="Times New Roman" w:cs="Times New Roman"/>
          <w:b/>
          <w:bCs/>
        </w:rPr>
        <w:t>Conclusions</w:t>
      </w:r>
    </w:p>
    <w:p w:rsidR="00AB3F63" w:rsidRDefault="00531057" w:rsidP="00E74BAF">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 xml:space="preserve">We use the natural experimental setting afforded by </w:t>
      </w:r>
      <w:r w:rsidR="00346282">
        <w:rPr>
          <w:rFonts w:ascii="Times New Roman" w:hAnsi="Times New Roman" w:cs="Times New Roman"/>
        </w:rPr>
        <w:t>the issuance of FAS 123R, and a difference</w:t>
      </w:r>
      <w:r w:rsidR="001F6D05">
        <w:rPr>
          <w:rFonts w:ascii="Times New Roman" w:hAnsi="Times New Roman" w:cs="Times New Roman"/>
        </w:rPr>
        <w:t>s</w:t>
      </w:r>
      <w:r w:rsidR="00346282">
        <w:rPr>
          <w:rFonts w:ascii="Times New Roman" w:hAnsi="Times New Roman" w:cs="Times New Roman"/>
        </w:rPr>
        <w:t>-in-differences methodology, to reexamine the unresolved question of whether a change in the convexity of managerial compensation causes a corresponding change in managerial risk-taking.</w:t>
      </w:r>
      <w:r>
        <w:rPr>
          <w:rFonts w:ascii="Times New Roman" w:hAnsi="Times New Roman" w:cs="Times New Roman"/>
        </w:rPr>
        <w:t xml:space="preserve"> </w:t>
      </w:r>
      <w:r w:rsidR="00346282">
        <w:rPr>
          <w:rFonts w:ascii="Times New Roman" w:hAnsi="Times New Roman" w:cs="Times New Roman"/>
        </w:rPr>
        <w:t xml:space="preserve">We focus on the causal link between </w:t>
      </w:r>
      <w:r w:rsidRPr="00865C38">
        <w:rPr>
          <w:rFonts w:ascii="Times New Roman" w:hAnsi="Times New Roman" w:cs="Times New Roman"/>
        </w:rPr>
        <w:t>stock option compensation and corporate risk management.</w:t>
      </w:r>
      <w:r w:rsidR="00346282">
        <w:rPr>
          <w:rFonts w:ascii="Times New Roman" w:hAnsi="Times New Roman" w:cs="Times New Roman"/>
        </w:rPr>
        <w:t xml:space="preserve"> Consistent with other studies of the effect of FAS 123R on stock option issuance, </w:t>
      </w:r>
      <w:r>
        <w:rPr>
          <w:rFonts w:ascii="Times New Roman" w:hAnsi="Times New Roman" w:cs="Times New Roman"/>
        </w:rPr>
        <w:t>we find a sharp reduction in compensation convexity (</w:t>
      </w:r>
      <w:proofErr w:type="spellStart"/>
      <w:proofErr w:type="gramStart"/>
      <w:r w:rsidRPr="00DF7C25">
        <w:rPr>
          <w:rFonts w:ascii="Times New Roman" w:hAnsi="Times New Roman" w:cs="Times New Roman"/>
        </w:rPr>
        <w:t>vega</w:t>
      </w:r>
      <w:proofErr w:type="spellEnd"/>
      <w:proofErr w:type="gramEnd"/>
      <w:r w:rsidRPr="00DF7C25">
        <w:rPr>
          <w:rFonts w:ascii="Times New Roman" w:hAnsi="Times New Roman" w:cs="Times New Roman"/>
        </w:rPr>
        <w:t>) following the adoption of FAS 123R</w:t>
      </w:r>
      <w:r w:rsidR="00346282">
        <w:rPr>
          <w:rFonts w:ascii="Times New Roman" w:hAnsi="Times New Roman" w:cs="Times New Roman"/>
        </w:rPr>
        <w:t xml:space="preserve">. However, we also </w:t>
      </w:r>
      <w:r>
        <w:rPr>
          <w:rFonts w:ascii="Times New Roman" w:hAnsi="Times New Roman" w:cs="Times New Roman"/>
        </w:rPr>
        <w:t xml:space="preserve">observe a </w:t>
      </w:r>
      <w:r w:rsidR="00700B12">
        <w:rPr>
          <w:rFonts w:ascii="Times New Roman" w:hAnsi="Times New Roman" w:cs="Times New Roman"/>
        </w:rPr>
        <w:t xml:space="preserve">significant decline in </w:t>
      </w:r>
      <w:r w:rsidR="00700B12">
        <w:rPr>
          <w:rFonts w:ascii="Times New Roman" w:hAnsi="Times New Roman" w:cs="Times New Roman"/>
        </w:rPr>
        <w:lastRenderedPageBreak/>
        <w:t xml:space="preserve">managerial risk taking (increase in corporate hedging) following the </w:t>
      </w:r>
      <w:r>
        <w:rPr>
          <w:rFonts w:ascii="Times New Roman" w:hAnsi="Times New Roman" w:cs="Times New Roman"/>
        </w:rPr>
        <w:t xml:space="preserve">decline in </w:t>
      </w:r>
      <w:proofErr w:type="spellStart"/>
      <w:proofErr w:type="gramStart"/>
      <w:r>
        <w:rPr>
          <w:rFonts w:ascii="Times New Roman" w:hAnsi="Times New Roman" w:cs="Times New Roman"/>
        </w:rPr>
        <w:t>vega</w:t>
      </w:r>
      <w:proofErr w:type="spellEnd"/>
      <w:proofErr w:type="gramEnd"/>
      <w:r>
        <w:rPr>
          <w:rFonts w:ascii="Times New Roman" w:hAnsi="Times New Roman" w:cs="Times New Roman"/>
        </w:rPr>
        <w:t xml:space="preserve"> induced by FAS 123R</w:t>
      </w:r>
      <w:r w:rsidR="00700B12">
        <w:rPr>
          <w:rFonts w:ascii="Times New Roman" w:hAnsi="Times New Roman" w:cs="Times New Roman"/>
        </w:rPr>
        <w:t xml:space="preserve">, which contrasts sharply with findings for other corporate financing and investment policies. </w:t>
      </w:r>
    </w:p>
    <w:p w:rsidR="00531057" w:rsidRDefault="00AB3F63" w:rsidP="00E74BAF">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b/>
      </w:r>
      <w:r w:rsidR="00700B12">
        <w:rPr>
          <w:rFonts w:ascii="Times New Roman" w:hAnsi="Times New Roman" w:cs="Times New Roman"/>
        </w:rPr>
        <w:t xml:space="preserve">Our findings contribute to the literature on managerial compensation by showing that managerial stock option compensation does have a positive effect on corporate risk taking. Our findings taken in conjunction with findings in previous studies provide new insights into why different studies of the same question may arrive at different conclusions, even after controlling for the </w:t>
      </w:r>
      <w:proofErr w:type="spellStart"/>
      <w:r w:rsidR="00700B12">
        <w:rPr>
          <w:rFonts w:ascii="Times New Roman" w:hAnsi="Times New Roman" w:cs="Times New Roman"/>
        </w:rPr>
        <w:t>endogeneity</w:t>
      </w:r>
      <w:proofErr w:type="spellEnd"/>
      <w:r w:rsidR="00700B12">
        <w:rPr>
          <w:rFonts w:ascii="Times New Roman" w:hAnsi="Times New Roman" w:cs="Times New Roman"/>
        </w:rPr>
        <w:t xml:space="preserve"> of managerial compensation and corporate financial policies. Our findings also contribute to the corporate risk management literature by providing support for one of the fundamental pillars of corporate hedging theory.</w:t>
      </w:r>
    </w:p>
    <w:p w:rsidR="00700B12" w:rsidRDefault="00700B12">
      <w:pPr>
        <w:rPr>
          <w:rFonts w:ascii="Times New Roman" w:hAnsi="Times New Roman" w:cs="Times New Roman"/>
          <w:color w:val="FF0000"/>
        </w:rPr>
      </w:pPr>
      <w:r>
        <w:rPr>
          <w:rFonts w:ascii="Times New Roman" w:hAnsi="Times New Roman" w:cs="Times New Roman"/>
          <w:color w:val="FF0000"/>
        </w:rPr>
        <w:br w:type="page"/>
      </w:r>
    </w:p>
    <w:p w:rsidR="00F06CFF" w:rsidRPr="00F06CFF" w:rsidRDefault="000D36CC" w:rsidP="00F06CF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Appendix</w:t>
      </w:r>
      <w:r w:rsidR="00F06CFF" w:rsidRPr="00F06CFF">
        <w:rPr>
          <w:rFonts w:ascii="Times New Roman" w:eastAsia="Times New Roman" w:hAnsi="Times New Roman" w:cs="Times New Roman"/>
          <w:b/>
          <w:sz w:val="24"/>
          <w:szCs w:val="24"/>
        </w:rPr>
        <w:t>: Definition of Variables</w:t>
      </w:r>
    </w:p>
    <w:p w:rsidR="00F06CFF" w:rsidRPr="00F06CFF" w:rsidRDefault="00F06CFF" w:rsidP="00EB7A9C">
      <w:pPr>
        <w:autoSpaceDE w:val="0"/>
        <w:autoSpaceDN w:val="0"/>
        <w:adjustRightInd w:val="0"/>
        <w:spacing w:after="120" w:line="360" w:lineRule="auto"/>
        <w:jc w:val="both"/>
        <w:rPr>
          <w:rFonts w:ascii="Times New Roman" w:eastAsia="Times New Roman" w:hAnsi="Times New Roman" w:cs="Times New Roman"/>
        </w:rPr>
      </w:pPr>
      <w:r w:rsidRPr="00F06CFF">
        <w:rPr>
          <w:rFonts w:ascii="Times New Roman" w:eastAsia="Times New Roman" w:hAnsi="Times New Roman" w:cs="Times New Roman"/>
          <w:bCs/>
        </w:rPr>
        <w:t xml:space="preserve">This Appendix lists all the variables used in the </w:t>
      </w:r>
      <w:proofErr w:type="gramStart"/>
      <w:r w:rsidRPr="00F06CFF">
        <w:rPr>
          <w:rFonts w:ascii="Times New Roman" w:eastAsia="Times New Roman" w:hAnsi="Times New Roman" w:cs="Times New Roman"/>
          <w:bCs/>
        </w:rPr>
        <w:t>paper,</w:t>
      </w:r>
      <w:proofErr w:type="gramEnd"/>
      <w:r w:rsidRPr="00F06CFF">
        <w:rPr>
          <w:rFonts w:ascii="Times New Roman" w:eastAsia="Times New Roman" w:hAnsi="Times New Roman" w:cs="Times New Roman"/>
          <w:bCs/>
        </w:rPr>
        <w:t xml:space="preserve"> provides their definitions and explains how they are constructed. </w:t>
      </w:r>
      <w:r w:rsidR="00654E9E">
        <w:rPr>
          <w:rFonts w:ascii="Times New Roman" w:eastAsia="Times New Roman" w:hAnsi="Times New Roman" w:cs="Times New Roman"/>
          <w:bCs/>
        </w:rPr>
        <w:t>T</w:t>
      </w:r>
      <w:r w:rsidRPr="00F06CFF">
        <w:rPr>
          <w:rFonts w:ascii="Times New Roman" w:eastAsia="Times New Roman" w:hAnsi="Times New Roman" w:cs="Times New Roman"/>
          <w:bCs/>
        </w:rPr>
        <w:t>he principal data sources</w:t>
      </w:r>
      <w:r w:rsidRPr="00F06CFF">
        <w:rPr>
          <w:rFonts w:ascii="Times New Roman" w:eastAsia="Times New Roman" w:hAnsi="Times New Roman" w:cs="Times New Roman"/>
          <w:iCs/>
        </w:rPr>
        <w:t xml:space="preserve"> are </w:t>
      </w:r>
      <w:proofErr w:type="spellStart"/>
      <w:r w:rsidRPr="00F06CFF">
        <w:rPr>
          <w:rFonts w:ascii="Times New Roman" w:eastAsia="Times New Roman" w:hAnsi="Times New Roman" w:cs="Times New Roman"/>
          <w:iCs/>
        </w:rPr>
        <w:t>Compustat</w:t>
      </w:r>
      <w:proofErr w:type="spellEnd"/>
      <w:r w:rsidRPr="00F06CFF">
        <w:rPr>
          <w:rFonts w:ascii="Times New Roman" w:eastAsia="Times New Roman" w:hAnsi="Times New Roman" w:cs="Times New Roman"/>
          <w:iCs/>
        </w:rPr>
        <w:t xml:space="preserve">, CRSP, </w:t>
      </w:r>
      <w:proofErr w:type="spellStart"/>
      <w:r w:rsidRPr="00F06CFF">
        <w:rPr>
          <w:rFonts w:ascii="Times New Roman" w:eastAsia="Times New Roman" w:hAnsi="Times New Roman" w:cs="Times New Roman"/>
        </w:rPr>
        <w:t>ExecuComp</w:t>
      </w:r>
      <w:proofErr w:type="spellEnd"/>
      <w:r w:rsidRPr="00F06CFF">
        <w:rPr>
          <w:rFonts w:ascii="Times New Roman" w:eastAsia="Times New Roman" w:hAnsi="Times New Roman" w:cs="Times New Roman"/>
        </w:rPr>
        <w:t>,</w:t>
      </w:r>
      <w:r w:rsidRPr="00F06CFF">
        <w:rPr>
          <w:rFonts w:ascii="Times New Roman" w:eastAsia="Times New Roman" w:hAnsi="Times New Roman" w:cs="Times New Roman"/>
          <w:iCs/>
        </w:rPr>
        <w:t xml:space="preserve"> firms’ annual reports and 10-K forms</w:t>
      </w:r>
      <w:r w:rsidRPr="00F06CFF">
        <w:rPr>
          <w:rFonts w:ascii="Times New Roman" w:eastAsia="Times New Roman" w:hAnsi="Times New Roman" w:cs="Times New Roman"/>
          <w:bCs/>
        </w:rPr>
        <w:t xml:space="preserve">. Market data is obtained from </w:t>
      </w:r>
      <w:proofErr w:type="spellStart"/>
      <w:r w:rsidRPr="00F06CFF">
        <w:rPr>
          <w:rFonts w:ascii="Times New Roman" w:eastAsia="Times New Roman" w:hAnsi="Times New Roman" w:cs="Times New Roman"/>
          <w:bCs/>
        </w:rPr>
        <w:t>Datastream</w:t>
      </w:r>
      <w:proofErr w:type="spellEnd"/>
      <w:r w:rsidRPr="00F06CFF">
        <w:rPr>
          <w:rFonts w:ascii="Times New Roman" w:eastAsia="Times New Roman" w:hAnsi="Times New Roman" w:cs="Times New Roman"/>
        </w:rPr>
        <w:t>.</w:t>
      </w:r>
    </w:p>
    <w:p w:rsidR="00F06CFF" w:rsidRPr="00F06CFF" w:rsidRDefault="00F06CFF" w:rsidP="00EB7A9C">
      <w:pPr>
        <w:autoSpaceDE w:val="0"/>
        <w:autoSpaceDN w:val="0"/>
        <w:adjustRightInd w:val="0"/>
        <w:spacing w:after="120" w:line="360" w:lineRule="auto"/>
        <w:rPr>
          <w:rFonts w:ascii="Times New Roman" w:eastAsia="Times New Roman" w:hAnsi="Times New Roman" w:cs="Times New Roman"/>
        </w:rPr>
      </w:pPr>
      <w:proofErr w:type="gramStart"/>
      <w:r w:rsidRPr="00F06CFF">
        <w:rPr>
          <w:rFonts w:ascii="Times New Roman" w:eastAsia="Times New Roman" w:hAnsi="Times New Roman" w:cs="Times New Roman"/>
          <w:b/>
        </w:rPr>
        <w:t>Altman’s  (</w:t>
      </w:r>
      <w:proofErr w:type="gramEnd"/>
      <w:r w:rsidRPr="00F06CFF">
        <w:rPr>
          <w:rFonts w:ascii="Times New Roman" w:eastAsia="Times New Roman" w:hAnsi="Times New Roman" w:cs="Times New Roman"/>
          <w:b/>
        </w:rPr>
        <w:t xml:space="preserve">1968) Z-score: </w:t>
      </w:r>
      <w:r w:rsidRPr="00F06CFF">
        <w:rPr>
          <w:rFonts w:ascii="Times New Roman" w:eastAsia="Times New Roman" w:hAnsi="Times New Roman" w:cs="Times New Roman"/>
        </w:rPr>
        <w:t xml:space="preserve">Defined as: </w:t>
      </w:r>
      <w:r w:rsidRPr="00F06CFF">
        <w:rPr>
          <w:rFonts w:ascii="Times New Roman" w:eastAsia="Times New Roman" w:hAnsi="Times New Roman" w:cs="Times New Roman"/>
          <w:position w:val="-12"/>
        </w:rPr>
        <w:object w:dxaOrig="5760" w:dyaOrig="360">
          <v:shape id="_x0000_i1027" type="#_x0000_t75" style="width:4in;height:18.8pt" o:ole="">
            <v:imagedata r:id="rId18" o:title=""/>
          </v:shape>
          <o:OLEObject Type="Embed" ProgID="Equation.DSMT4" ShapeID="_x0000_i1027" DrawAspect="Content" ObjectID="_1423907476" r:id="rId19"/>
        </w:object>
      </w:r>
    </w:p>
    <w:p w:rsidR="00F06CFF" w:rsidRPr="00834FC4" w:rsidRDefault="00F06CFF" w:rsidP="00EB7A9C">
      <w:pPr>
        <w:autoSpaceDE w:val="0"/>
        <w:autoSpaceDN w:val="0"/>
        <w:adjustRightInd w:val="0"/>
        <w:spacing w:after="120" w:line="360" w:lineRule="auto"/>
        <w:jc w:val="both"/>
        <w:rPr>
          <w:rFonts w:ascii="Times New Roman" w:eastAsia="Times New Roman" w:hAnsi="Times New Roman" w:cs="Times New Roman"/>
        </w:rPr>
      </w:pPr>
      <w:proofErr w:type="gramStart"/>
      <w:r w:rsidRPr="00F06CFF">
        <w:rPr>
          <w:rFonts w:ascii="Times New Roman" w:eastAsia="Times New Roman" w:hAnsi="Times New Roman" w:cs="Times New Roman"/>
        </w:rPr>
        <w:t>where</w:t>
      </w:r>
      <w:proofErr w:type="gramEnd"/>
      <w:r w:rsidRPr="00F06CFF">
        <w:rPr>
          <w:rFonts w:ascii="Times New Roman" w:eastAsia="Times New Roman" w:hAnsi="Times New Roman" w:cs="Times New Roman"/>
        </w:rPr>
        <w:t xml:space="preserve"> </w:t>
      </w:r>
      <w:r w:rsidRPr="00F06CFF">
        <w:rPr>
          <w:rFonts w:ascii="Times New Roman" w:eastAsia="Times New Roman" w:hAnsi="Times New Roman" w:cs="Times New Roman"/>
          <w:i/>
        </w:rPr>
        <w:t>X</w:t>
      </w:r>
      <w:r w:rsidRPr="00F06CFF">
        <w:rPr>
          <w:rFonts w:ascii="Times New Roman" w:eastAsia="Times New Roman" w:hAnsi="Times New Roman" w:cs="Times New Roman"/>
          <w:vertAlign w:val="subscript"/>
        </w:rPr>
        <w:t>1</w:t>
      </w:r>
      <w:r w:rsidRPr="00F06CFF">
        <w:rPr>
          <w:rFonts w:ascii="Times New Roman" w:eastAsia="Times New Roman" w:hAnsi="Times New Roman" w:cs="Times New Roman"/>
        </w:rPr>
        <w:t xml:space="preserve"> = working capital (current assets – current liabilities)/total assets; </w:t>
      </w:r>
      <w:r w:rsidRPr="00F06CFF">
        <w:rPr>
          <w:rFonts w:ascii="Times New Roman" w:eastAsia="Times New Roman" w:hAnsi="Times New Roman" w:cs="Times New Roman"/>
          <w:i/>
        </w:rPr>
        <w:t>X</w:t>
      </w:r>
      <w:r w:rsidRPr="00F06CFF">
        <w:rPr>
          <w:rFonts w:ascii="Times New Roman" w:eastAsia="Times New Roman" w:hAnsi="Times New Roman" w:cs="Times New Roman"/>
          <w:vertAlign w:val="subscript"/>
        </w:rPr>
        <w:t>2</w:t>
      </w:r>
      <w:r w:rsidRPr="00F06CFF">
        <w:rPr>
          <w:rFonts w:ascii="Times New Roman" w:eastAsia="Times New Roman" w:hAnsi="Times New Roman" w:cs="Times New Roman"/>
        </w:rPr>
        <w:t xml:space="preserve"> = retained earnings/total assets; </w:t>
      </w:r>
      <w:r w:rsidRPr="00F06CFF">
        <w:rPr>
          <w:rFonts w:ascii="Times New Roman" w:eastAsia="Times New Roman" w:hAnsi="Times New Roman" w:cs="Times New Roman"/>
          <w:i/>
        </w:rPr>
        <w:t>X</w:t>
      </w:r>
      <w:r w:rsidRPr="00F06CFF">
        <w:rPr>
          <w:rFonts w:ascii="Times New Roman" w:eastAsia="Times New Roman" w:hAnsi="Times New Roman" w:cs="Times New Roman"/>
          <w:vertAlign w:val="subscript"/>
        </w:rPr>
        <w:t>3</w:t>
      </w:r>
      <w:r w:rsidRPr="00F06CFF">
        <w:rPr>
          <w:rFonts w:ascii="Times New Roman" w:eastAsia="Times New Roman" w:hAnsi="Times New Roman" w:cs="Times New Roman"/>
        </w:rPr>
        <w:t xml:space="preserve"> = earnings before interest and taxes/total assets; </w:t>
      </w:r>
      <w:r w:rsidRPr="00F06CFF">
        <w:rPr>
          <w:rFonts w:ascii="Times New Roman" w:eastAsia="Times New Roman" w:hAnsi="Times New Roman" w:cs="Times New Roman"/>
          <w:i/>
        </w:rPr>
        <w:t>X</w:t>
      </w:r>
      <w:r w:rsidRPr="00F06CFF">
        <w:rPr>
          <w:rFonts w:ascii="Times New Roman" w:eastAsia="Times New Roman" w:hAnsi="Times New Roman" w:cs="Times New Roman"/>
          <w:vertAlign w:val="subscript"/>
        </w:rPr>
        <w:t xml:space="preserve">4 </w:t>
      </w:r>
      <w:r w:rsidRPr="00F06CFF">
        <w:rPr>
          <w:rFonts w:ascii="Times New Roman" w:eastAsia="Times New Roman" w:hAnsi="Times New Roman" w:cs="Times New Roman"/>
        </w:rPr>
        <w:t xml:space="preserve">= market value of equity/ book value of total debt; and </w:t>
      </w:r>
      <w:r w:rsidRPr="00F06CFF">
        <w:rPr>
          <w:rFonts w:ascii="Times New Roman" w:eastAsia="Times New Roman" w:hAnsi="Times New Roman" w:cs="Times New Roman"/>
          <w:i/>
        </w:rPr>
        <w:t>X</w:t>
      </w:r>
      <w:r w:rsidRPr="00F06CFF">
        <w:rPr>
          <w:rFonts w:ascii="Times New Roman" w:eastAsia="Times New Roman" w:hAnsi="Times New Roman" w:cs="Times New Roman"/>
          <w:vertAlign w:val="subscript"/>
        </w:rPr>
        <w:t>5</w:t>
      </w:r>
      <w:r w:rsidRPr="00F06CFF">
        <w:rPr>
          <w:rFonts w:ascii="Times New Roman" w:eastAsia="Times New Roman" w:hAnsi="Times New Roman" w:cs="Times New Roman"/>
        </w:rPr>
        <w:t xml:space="preserve"> = sales/total assets.</w:t>
      </w:r>
    </w:p>
    <w:p w:rsidR="00F06CFF" w:rsidRPr="00834FC4" w:rsidRDefault="00F06CFF" w:rsidP="00EB7A9C">
      <w:pPr>
        <w:autoSpaceDE w:val="0"/>
        <w:autoSpaceDN w:val="0"/>
        <w:adjustRightInd w:val="0"/>
        <w:spacing w:after="120" w:line="360" w:lineRule="auto"/>
        <w:jc w:val="both"/>
        <w:rPr>
          <w:rFonts w:ascii="Times New Roman" w:eastAsia="Times New Roman" w:hAnsi="Times New Roman" w:cs="Times New Roman"/>
        </w:rPr>
      </w:pPr>
      <w:r w:rsidRPr="00834FC4">
        <w:rPr>
          <w:rFonts w:ascii="Times New Roman" w:eastAsia="Times New Roman" w:hAnsi="Times New Roman" w:cs="Times New Roman"/>
          <w:b/>
        </w:rPr>
        <w:t xml:space="preserve">CEO compensation delta and </w:t>
      </w:r>
      <w:proofErr w:type="spellStart"/>
      <w:proofErr w:type="gramStart"/>
      <w:r w:rsidRPr="00834FC4">
        <w:rPr>
          <w:rFonts w:ascii="Times New Roman" w:eastAsia="Times New Roman" w:hAnsi="Times New Roman" w:cs="Times New Roman"/>
          <w:b/>
        </w:rPr>
        <w:t>vega</w:t>
      </w:r>
      <w:proofErr w:type="spellEnd"/>
      <w:proofErr w:type="gramEnd"/>
      <w:r w:rsidRPr="00834FC4">
        <w:rPr>
          <w:rFonts w:ascii="Times New Roman" w:eastAsia="Times New Roman" w:hAnsi="Times New Roman" w:cs="Times New Roman"/>
          <w:b/>
        </w:rPr>
        <w:t xml:space="preserve">: </w:t>
      </w:r>
      <w:r w:rsidRPr="00834FC4">
        <w:rPr>
          <w:rFonts w:ascii="Times New Roman" w:eastAsia="Times New Roman" w:hAnsi="Times New Roman" w:cs="Times New Roman"/>
        </w:rPr>
        <w:t xml:space="preserve">CEO (aggregate) compensation delta is the change in the dollar value of the executive’s wealth derived from ownership of stock and stock options in the firm when the firm’s stock price changes by one percent. CEO (aggregate) compensation </w:t>
      </w:r>
      <w:proofErr w:type="spellStart"/>
      <w:proofErr w:type="gramStart"/>
      <w:r w:rsidRPr="00834FC4">
        <w:rPr>
          <w:rFonts w:ascii="Times New Roman" w:eastAsia="Times New Roman" w:hAnsi="Times New Roman" w:cs="Times New Roman"/>
        </w:rPr>
        <w:t>vega</w:t>
      </w:r>
      <w:proofErr w:type="spellEnd"/>
      <w:proofErr w:type="gramEnd"/>
      <w:r w:rsidRPr="00834FC4">
        <w:rPr>
          <w:rFonts w:ascii="Times New Roman" w:eastAsia="Times New Roman" w:hAnsi="Times New Roman" w:cs="Times New Roman"/>
        </w:rPr>
        <w:t xml:space="preserve"> is the change in the dollar value of the executive’s wealth derived from ownership of stock and stock options in the firm when the annualized standard deviation of the firm’s stock price changes by 0.01. We calculate the (aggregate) delta of the executive’s compensation as the sum of the deltas of the options holdings and the delta of the stock holdings. We obtain the (aggregate) </w:t>
      </w:r>
      <w:proofErr w:type="spellStart"/>
      <w:proofErr w:type="gramStart"/>
      <w:r w:rsidRPr="00834FC4">
        <w:rPr>
          <w:rFonts w:ascii="Times New Roman" w:eastAsia="Times New Roman" w:hAnsi="Times New Roman" w:cs="Times New Roman"/>
        </w:rPr>
        <w:t>vega</w:t>
      </w:r>
      <w:proofErr w:type="spellEnd"/>
      <w:proofErr w:type="gramEnd"/>
      <w:r w:rsidRPr="00834FC4">
        <w:rPr>
          <w:rFonts w:ascii="Times New Roman" w:eastAsia="Times New Roman" w:hAnsi="Times New Roman" w:cs="Times New Roman"/>
        </w:rPr>
        <w:t xml:space="preserve"> of the executive’s compensation as the sum of the </w:t>
      </w:r>
      <w:proofErr w:type="spellStart"/>
      <w:r w:rsidRPr="00834FC4">
        <w:rPr>
          <w:rFonts w:ascii="Times New Roman" w:eastAsia="Times New Roman" w:hAnsi="Times New Roman" w:cs="Times New Roman"/>
        </w:rPr>
        <w:t>vegas</w:t>
      </w:r>
      <w:proofErr w:type="spellEnd"/>
      <w:r w:rsidRPr="00834FC4">
        <w:rPr>
          <w:rFonts w:ascii="Times New Roman" w:eastAsia="Times New Roman" w:hAnsi="Times New Roman" w:cs="Times New Roman"/>
        </w:rPr>
        <w:t xml:space="preserve"> of the executive’s options holdings. Following Coles, Daniel and Naveen (2006) we disregard the </w:t>
      </w:r>
      <w:proofErr w:type="spellStart"/>
      <w:proofErr w:type="gramStart"/>
      <w:r w:rsidRPr="00834FC4">
        <w:rPr>
          <w:rFonts w:ascii="Times New Roman" w:eastAsia="Times New Roman" w:hAnsi="Times New Roman" w:cs="Times New Roman"/>
        </w:rPr>
        <w:t>vega</w:t>
      </w:r>
      <w:proofErr w:type="spellEnd"/>
      <w:proofErr w:type="gramEnd"/>
      <w:r w:rsidRPr="00834FC4">
        <w:rPr>
          <w:rFonts w:ascii="Times New Roman" w:eastAsia="Times New Roman" w:hAnsi="Times New Roman" w:cs="Times New Roman"/>
        </w:rPr>
        <w:t xml:space="preserve"> of stock holdings. The delta and </w:t>
      </w:r>
      <w:proofErr w:type="spellStart"/>
      <w:proofErr w:type="gramStart"/>
      <w:r w:rsidRPr="00834FC4">
        <w:rPr>
          <w:rFonts w:ascii="Times New Roman" w:eastAsia="Times New Roman" w:hAnsi="Times New Roman" w:cs="Times New Roman"/>
        </w:rPr>
        <w:t>vega</w:t>
      </w:r>
      <w:proofErr w:type="spellEnd"/>
      <w:proofErr w:type="gramEnd"/>
      <w:r w:rsidRPr="00834FC4">
        <w:rPr>
          <w:rFonts w:ascii="Times New Roman" w:eastAsia="Times New Roman" w:hAnsi="Times New Roman" w:cs="Times New Roman"/>
        </w:rPr>
        <w:t xml:space="preserve"> of options holdings are calculated based on the methodology in </w:t>
      </w:r>
      <w:proofErr w:type="spellStart"/>
      <w:r w:rsidRPr="00834FC4">
        <w:rPr>
          <w:rFonts w:ascii="Times New Roman" w:eastAsia="Times New Roman" w:hAnsi="Times New Roman" w:cs="Times New Roman"/>
        </w:rPr>
        <w:t>Guay</w:t>
      </w:r>
      <w:proofErr w:type="spellEnd"/>
      <w:r w:rsidRPr="00834FC4">
        <w:rPr>
          <w:rFonts w:ascii="Times New Roman" w:eastAsia="Times New Roman" w:hAnsi="Times New Roman" w:cs="Times New Roman"/>
        </w:rPr>
        <w:t xml:space="preserve"> (1999) and Core and </w:t>
      </w:r>
      <w:proofErr w:type="spellStart"/>
      <w:r w:rsidRPr="00834FC4">
        <w:rPr>
          <w:rFonts w:ascii="Times New Roman" w:eastAsia="Times New Roman" w:hAnsi="Times New Roman" w:cs="Times New Roman"/>
        </w:rPr>
        <w:t>Guay</w:t>
      </w:r>
      <w:proofErr w:type="spellEnd"/>
      <w:r w:rsidRPr="00834FC4">
        <w:rPr>
          <w:rFonts w:ascii="Times New Roman" w:eastAsia="Times New Roman" w:hAnsi="Times New Roman" w:cs="Times New Roman"/>
        </w:rPr>
        <w:t xml:space="preserve"> (2002).</w:t>
      </w:r>
      <w:r w:rsidRPr="00834FC4">
        <w:rPr>
          <w:rFonts w:ascii="Times New Roman" w:eastAsia="Times New Roman" w:hAnsi="Times New Roman" w:cs="Times New Roman"/>
          <w:vertAlign w:val="superscript"/>
        </w:rPr>
        <w:footnoteReference w:id="29"/>
      </w:r>
      <w:r w:rsidRPr="00834FC4">
        <w:rPr>
          <w:rFonts w:ascii="Times New Roman" w:eastAsia="Times New Roman" w:hAnsi="Times New Roman" w:cs="Times New Roman"/>
        </w:rPr>
        <w:t xml:space="preserve"> </w:t>
      </w:r>
    </w:p>
    <w:p w:rsidR="00F06CFF" w:rsidRPr="00834FC4" w:rsidRDefault="00F06CFF" w:rsidP="00EB7A9C">
      <w:pPr>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eastAsia="Times New Roman" w:hAnsi="Times New Roman" w:cs="Times New Roman"/>
        </w:rPr>
        <w:t>The deltas of stock and options holdings are given by:</w:t>
      </w:r>
    </w:p>
    <w:p w:rsidR="00F06CFF" w:rsidRPr="00834FC4" w:rsidRDefault="00F06CFF" w:rsidP="00EB7A9C">
      <w:pPr>
        <w:tabs>
          <w:tab w:val="center" w:pos="4680"/>
          <w:tab w:val="right" w:pos="9360"/>
        </w:tabs>
        <w:autoSpaceDE w:val="0"/>
        <w:autoSpaceDN w:val="0"/>
        <w:adjustRightInd w:val="0"/>
        <w:spacing w:after="120" w:line="360" w:lineRule="auto"/>
        <w:ind w:firstLine="720"/>
        <w:jc w:val="center"/>
        <w:rPr>
          <w:rFonts w:ascii="Times New Roman" w:eastAsia="Times New Roman" w:hAnsi="Times New Roman" w:cs="Times New Roman"/>
        </w:rPr>
      </w:pPr>
      <w:r w:rsidRPr="00834FC4">
        <w:rPr>
          <w:rFonts w:ascii="Times New Roman" w:eastAsia="Times New Roman" w:hAnsi="Times New Roman" w:cs="Times New Roman"/>
        </w:rPr>
        <w:tab/>
        <w:t>Delta (stock holdings) = 0.01*</w:t>
      </w:r>
      <w:r w:rsidRPr="00834FC4">
        <w:rPr>
          <w:rFonts w:ascii="Times New Roman" w:eastAsia="Times New Roman" w:hAnsi="Times New Roman" w:cs="Times New Roman"/>
          <w:i/>
        </w:rPr>
        <w:t>S</w:t>
      </w:r>
      <w:r w:rsidRPr="00834FC4">
        <w:rPr>
          <w:rFonts w:ascii="Times New Roman" w:eastAsia="Times New Roman" w:hAnsi="Times New Roman" w:cs="Times New Roman"/>
        </w:rPr>
        <w:t>*number of shares owned</w:t>
      </w:r>
      <w:r w:rsidRPr="00834FC4">
        <w:rPr>
          <w:rFonts w:ascii="Times New Roman" w:eastAsia="Times New Roman" w:hAnsi="Times New Roman" w:cs="Times New Roman"/>
        </w:rPr>
        <w:tab/>
        <w:t>(A.1)</w:t>
      </w:r>
    </w:p>
    <w:p w:rsidR="00F06CFF" w:rsidRPr="00834FC4" w:rsidRDefault="00F06CFF" w:rsidP="00EB7A9C">
      <w:pPr>
        <w:tabs>
          <w:tab w:val="center" w:pos="4680"/>
          <w:tab w:val="right" w:pos="9360"/>
        </w:tabs>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eastAsia="Times New Roman" w:hAnsi="Times New Roman" w:cs="Times New Roman"/>
        </w:rPr>
        <w:tab/>
      </w:r>
      <w:r w:rsidRPr="00834FC4">
        <w:rPr>
          <w:rFonts w:ascii="Times New Roman" w:eastAsia="Times New Roman" w:hAnsi="Times New Roman" w:cs="Times New Roman"/>
          <w:position w:val="-10"/>
        </w:rPr>
        <w:object w:dxaOrig="7000" w:dyaOrig="380">
          <v:shape id="_x0000_i1028" type="#_x0000_t75" style="width:350.25pt;height:18.8pt" o:ole="">
            <v:imagedata r:id="rId20" o:title=""/>
          </v:shape>
          <o:OLEObject Type="Embed" ProgID="Equation.DSMT4" ShapeID="_x0000_i1028" DrawAspect="Content" ObjectID="_1423907477" r:id="rId21"/>
        </w:object>
      </w:r>
      <w:r w:rsidRPr="00834FC4">
        <w:rPr>
          <w:rFonts w:ascii="Times New Roman" w:eastAsia="Times New Roman" w:hAnsi="Times New Roman" w:cs="Times New Roman"/>
        </w:rPr>
        <w:tab/>
        <w:t>(A.2)</w:t>
      </w:r>
    </w:p>
    <w:p w:rsidR="00F06CFF" w:rsidRPr="00834FC4" w:rsidRDefault="00F06CFF" w:rsidP="00EB7A9C">
      <w:pPr>
        <w:widowControl w:val="0"/>
        <w:autoSpaceDE w:val="0"/>
        <w:autoSpaceDN w:val="0"/>
        <w:adjustRightInd w:val="0"/>
        <w:spacing w:after="120" w:line="360" w:lineRule="auto"/>
        <w:jc w:val="both"/>
        <w:rPr>
          <w:rFonts w:ascii="Times New Roman" w:eastAsia="Times New Roman" w:hAnsi="Times New Roman" w:cs="Times New Roman"/>
        </w:rPr>
      </w:pPr>
      <w:proofErr w:type="gramStart"/>
      <w:r w:rsidRPr="00834FC4">
        <w:rPr>
          <w:rFonts w:ascii="Times New Roman" w:eastAsia="Times New Roman" w:hAnsi="Times New Roman" w:cs="Times New Roman"/>
        </w:rPr>
        <w:t>where</w:t>
      </w:r>
      <w:proofErr w:type="gramEnd"/>
      <w:r w:rsidRPr="00834FC4">
        <w:rPr>
          <w:rFonts w:ascii="Times New Roman" w:eastAsia="Times New Roman" w:hAnsi="Times New Roman" w:cs="Times New Roman"/>
        </w:rPr>
        <w:tab/>
      </w:r>
      <w:r w:rsidRPr="00834FC4">
        <w:rPr>
          <w:rFonts w:ascii="Times New Roman" w:eastAsia="Times New Roman" w:hAnsi="Times New Roman" w:cs="Times New Roman"/>
          <w:i/>
        </w:rPr>
        <w:t xml:space="preserve">Z </w:t>
      </w:r>
      <w:r w:rsidRPr="00834FC4">
        <w:rPr>
          <w:rFonts w:ascii="Times New Roman" w:eastAsia="Times New Roman" w:hAnsi="Times New Roman" w:cs="Times New Roman"/>
        </w:rPr>
        <w:t>= (</w:t>
      </w:r>
      <w:proofErr w:type="spellStart"/>
      <w:r w:rsidRPr="00834FC4">
        <w:rPr>
          <w:rFonts w:ascii="Times New Roman" w:eastAsia="Times New Roman" w:hAnsi="Times New Roman" w:cs="Times New Roman"/>
          <w:i/>
        </w:rPr>
        <w:t>ln</w:t>
      </w:r>
      <w:proofErr w:type="spellEnd"/>
      <w:r w:rsidRPr="00834FC4">
        <w:rPr>
          <w:rFonts w:ascii="Times New Roman" w:eastAsia="Times New Roman" w:hAnsi="Times New Roman" w:cs="Times New Roman"/>
          <w:i/>
        </w:rPr>
        <w:t xml:space="preserve"> </w:t>
      </w:r>
      <w:r w:rsidRPr="00834FC4">
        <w:rPr>
          <w:rFonts w:ascii="Times New Roman" w:eastAsia="Times New Roman" w:hAnsi="Times New Roman" w:cs="Times New Roman"/>
        </w:rPr>
        <w:t>(</w:t>
      </w:r>
      <w:r w:rsidRPr="00834FC4">
        <w:rPr>
          <w:rFonts w:ascii="Times New Roman" w:eastAsia="Times New Roman" w:hAnsi="Times New Roman" w:cs="Times New Roman"/>
          <w:i/>
        </w:rPr>
        <w:t>S/X</w:t>
      </w:r>
      <w:r w:rsidRPr="00834FC4">
        <w:rPr>
          <w:rFonts w:ascii="Times New Roman" w:eastAsia="Times New Roman" w:hAnsi="Times New Roman" w:cs="Times New Roman"/>
        </w:rPr>
        <w:t xml:space="preserve">) + </w:t>
      </w:r>
      <w:r w:rsidRPr="00834FC4">
        <w:rPr>
          <w:rFonts w:ascii="Times New Roman" w:eastAsia="Times New Roman" w:hAnsi="Times New Roman" w:cs="Times New Roman"/>
          <w:i/>
        </w:rPr>
        <w:t xml:space="preserve">T </w:t>
      </w:r>
      <w:r w:rsidRPr="00834FC4">
        <w:rPr>
          <w:rFonts w:ascii="Times New Roman" w:eastAsia="Times New Roman" w:hAnsi="Times New Roman" w:cs="Times New Roman"/>
        </w:rPr>
        <w:t>(</w:t>
      </w:r>
      <w:r w:rsidRPr="00834FC4">
        <w:rPr>
          <w:rFonts w:ascii="Times New Roman" w:eastAsia="Times New Roman" w:hAnsi="Times New Roman" w:cs="Times New Roman"/>
          <w:i/>
        </w:rPr>
        <w:t xml:space="preserve">r - d </w:t>
      </w:r>
      <w:r w:rsidRPr="00834FC4">
        <w:rPr>
          <w:rFonts w:ascii="Times New Roman" w:eastAsia="Times New Roman" w:hAnsi="Times New Roman" w:cs="Times New Roman"/>
        </w:rPr>
        <w:t>+ σ</w:t>
      </w:r>
      <w:r w:rsidRPr="00834FC4">
        <w:rPr>
          <w:rFonts w:ascii="Times New Roman" w:eastAsia="Times New Roman" w:hAnsi="Times New Roman" w:cs="Times New Roman"/>
          <w:vertAlign w:val="superscript"/>
        </w:rPr>
        <w:t>2</w:t>
      </w:r>
      <w:r w:rsidRPr="00834FC4">
        <w:rPr>
          <w:rFonts w:ascii="Times New Roman" w:eastAsia="Times New Roman" w:hAnsi="Times New Roman" w:cs="Times New Roman"/>
        </w:rPr>
        <w:t>/2))/(</w:t>
      </w:r>
      <w:proofErr w:type="spellStart"/>
      <w:r w:rsidRPr="00834FC4">
        <w:rPr>
          <w:rFonts w:ascii="Times New Roman" w:eastAsia="Times New Roman" w:hAnsi="Times New Roman" w:cs="Times New Roman"/>
        </w:rPr>
        <w:t>σ</w:t>
      </w:r>
      <w:r w:rsidRPr="00834FC4">
        <w:rPr>
          <w:rFonts w:ascii="Times New Roman" w:eastAsia="Times New Roman" w:hAnsi="Times New Roman" w:cs="Times New Roman"/>
          <w:i/>
        </w:rPr>
        <w:t>T</w:t>
      </w:r>
      <w:proofErr w:type="spellEnd"/>
      <w:r w:rsidRPr="00834FC4">
        <w:rPr>
          <w:rFonts w:ascii="Times New Roman" w:eastAsia="Times New Roman" w:hAnsi="Times New Roman" w:cs="Times New Roman"/>
          <w:i/>
        </w:rPr>
        <w:t xml:space="preserve"> </w:t>
      </w:r>
      <w:r w:rsidRPr="00834FC4">
        <w:rPr>
          <w:rFonts w:ascii="Times New Roman" w:eastAsia="Times New Roman" w:hAnsi="Times New Roman" w:cs="Times New Roman"/>
          <w:i/>
          <w:vertAlign w:val="superscript"/>
        </w:rPr>
        <w:t>0.5</w:t>
      </w:r>
      <w:r w:rsidRPr="00834FC4">
        <w:rPr>
          <w:rFonts w:ascii="Times New Roman" w:eastAsia="Times New Roman" w:hAnsi="Times New Roman" w:cs="Times New Roman"/>
        </w:rPr>
        <w:t>)</w:t>
      </w:r>
    </w:p>
    <w:p w:rsidR="00F06CFF" w:rsidRPr="00834FC4" w:rsidRDefault="00F06CFF" w:rsidP="00EB7A9C">
      <w:pPr>
        <w:widowControl w:val="0"/>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eastAsia="Times New Roman" w:hAnsi="Times New Roman" w:cs="Times New Roman"/>
          <w:i/>
        </w:rPr>
        <w:t>S</w:t>
      </w:r>
      <w:r w:rsidRPr="00834FC4">
        <w:rPr>
          <w:rFonts w:ascii="Times New Roman" w:eastAsia="Times New Roman" w:hAnsi="Times New Roman" w:cs="Times New Roman"/>
        </w:rPr>
        <w:t xml:space="preserve"> = underlying stock price</w:t>
      </w:r>
    </w:p>
    <w:p w:rsidR="00F06CFF" w:rsidRPr="00834FC4" w:rsidRDefault="00F06CFF" w:rsidP="00EB7A9C">
      <w:pPr>
        <w:widowControl w:val="0"/>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eastAsia="Times New Roman" w:hAnsi="Times New Roman" w:cs="Times New Roman"/>
          <w:i/>
        </w:rPr>
        <w:t>X</w:t>
      </w:r>
      <w:r w:rsidRPr="00834FC4">
        <w:rPr>
          <w:rFonts w:ascii="Times New Roman" w:eastAsia="Times New Roman" w:hAnsi="Times New Roman" w:cs="Times New Roman"/>
        </w:rPr>
        <w:t xml:space="preserve"> = option exercise price</w:t>
      </w:r>
    </w:p>
    <w:p w:rsidR="00F06CFF" w:rsidRPr="00834FC4" w:rsidRDefault="00F06CFF" w:rsidP="00EB7A9C">
      <w:pPr>
        <w:widowControl w:val="0"/>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eastAsia="Times New Roman" w:hAnsi="Times New Roman" w:cs="Times New Roman"/>
          <w:i/>
        </w:rPr>
        <w:t xml:space="preserve">T </w:t>
      </w:r>
      <w:r w:rsidRPr="00834FC4">
        <w:rPr>
          <w:rFonts w:ascii="Times New Roman" w:eastAsia="Times New Roman" w:hAnsi="Times New Roman" w:cs="Times New Roman"/>
        </w:rPr>
        <w:t>= time to maturity of the option (number of years)</w:t>
      </w:r>
    </w:p>
    <w:p w:rsidR="00F06CFF" w:rsidRPr="00834FC4" w:rsidRDefault="00F06CFF" w:rsidP="00EB7A9C">
      <w:pPr>
        <w:widowControl w:val="0"/>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eastAsia="Times New Roman" w:hAnsi="Times New Roman" w:cs="Times New Roman"/>
          <w:i/>
        </w:rPr>
        <w:t xml:space="preserve">r </w:t>
      </w:r>
      <w:r w:rsidRPr="00834FC4">
        <w:rPr>
          <w:rFonts w:ascii="Times New Roman" w:eastAsia="Times New Roman" w:hAnsi="Times New Roman" w:cs="Times New Roman"/>
        </w:rPr>
        <w:t xml:space="preserve">= </w:t>
      </w:r>
      <w:proofErr w:type="spellStart"/>
      <w:r w:rsidRPr="00834FC4">
        <w:rPr>
          <w:rFonts w:ascii="Times New Roman" w:eastAsia="Times New Roman" w:hAnsi="Times New Roman" w:cs="Times New Roman"/>
        </w:rPr>
        <w:t>ln</w:t>
      </w:r>
      <w:proofErr w:type="spellEnd"/>
      <w:r w:rsidRPr="00834FC4">
        <w:rPr>
          <w:rFonts w:ascii="Times New Roman" w:eastAsia="Times New Roman" w:hAnsi="Times New Roman" w:cs="Times New Roman"/>
        </w:rPr>
        <w:t xml:space="preserve"> [1 + risk-free interest rate]</w:t>
      </w:r>
    </w:p>
    <w:p w:rsidR="00F06CFF" w:rsidRPr="00834FC4" w:rsidRDefault="00F06CFF" w:rsidP="00EB7A9C">
      <w:pPr>
        <w:widowControl w:val="0"/>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eastAsia="Times New Roman" w:hAnsi="Times New Roman" w:cs="Times New Roman"/>
          <w:i/>
        </w:rPr>
        <w:lastRenderedPageBreak/>
        <w:t xml:space="preserve">d </w:t>
      </w:r>
      <w:r w:rsidRPr="00834FC4">
        <w:rPr>
          <w:rFonts w:ascii="Times New Roman" w:eastAsia="Times New Roman" w:hAnsi="Times New Roman" w:cs="Times New Roman"/>
        </w:rPr>
        <w:t xml:space="preserve">= </w:t>
      </w:r>
      <w:proofErr w:type="spellStart"/>
      <w:r w:rsidRPr="00834FC4">
        <w:rPr>
          <w:rFonts w:ascii="Times New Roman" w:eastAsia="Times New Roman" w:hAnsi="Times New Roman" w:cs="Times New Roman"/>
        </w:rPr>
        <w:t>ln</w:t>
      </w:r>
      <w:proofErr w:type="spellEnd"/>
      <w:r w:rsidRPr="00834FC4">
        <w:rPr>
          <w:rFonts w:ascii="Times New Roman" w:eastAsia="Times New Roman" w:hAnsi="Times New Roman" w:cs="Times New Roman"/>
        </w:rPr>
        <w:t xml:space="preserve"> [1 + expected dividend rate on the stock]</w:t>
      </w:r>
    </w:p>
    <w:p w:rsidR="00F06CFF" w:rsidRPr="00834FC4" w:rsidRDefault="00F06CFF" w:rsidP="00EB7A9C">
      <w:pPr>
        <w:widowControl w:val="0"/>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eastAsia="Times New Roman" w:hAnsi="Times New Roman" w:cs="Times New Roman"/>
        </w:rPr>
        <w:t>σ = annualized stock return volatility</w:t>
      </w:r>
    </w:p>
    <w:p w:rsidR="00F06CFF" w:rsidRPr="00834FC4" w:rsidRDefault="00F06CFF" w:rsidP="00EB7A9C">
      <w:pPr>
        <w:widowControl w:val="0"/>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eastAsia="Times New Roman" w:hAnsi="Times New Roman" w:cs="Times New Roman"/>
          <w:i/>
        </w:rPr>
        <w:t>N =</w:t>
      </w:r>
      <w:r w:rsidRPr="00834FC4">
        <w:rPr>
          <w:rFonts w:ascii="Times New Roman" w:eastAsia="Times New Roman" w:hAnsi="Times New Roman" w:cs="Times New Roman"/>
        </w:rPr>
        <w:t xml:space="preserve"> cumulative density function for normal distribution</w:t>
      </w:r>
    </w:p>
    <w:p w:rsidR="00F06CFF" w:rsidRPr="00834FC4" w:rsidRDefault="00F06CFF" w:rsidP="00EB7A9C">
      <w:pPr>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eastAsia="Times New Roman" w:hAnsi="Times New Roman" w:cs="Times New Roman"/>
        </w:rPr>
        <w:t xml:space="preserve">The </w:t>
      </w:r>
      <w:proofErr w:type="spellStart"/>
      <w:proofErr w:type="gramStart"/>
      <w:r w:rsidRPr="00834FC4">
        <w:rPr>
          <w:rFonts w:ascii="Times New Roman" w:eastAsia="Times New Roman" w:hAnsi="Times New Roman" w:cs="Times New Roman"/>
        </w:rPr>
        <w:t>vega</w:t>
      </w:r>
      <w:proofErr w:type="spellEnd"/>
      <w:proofErr w:type="gramEnd"/>
      <w:r w:rsidRPr="00834FC4">
        <w:rPr>
          <w:rFonts w:ascii="Times New Roman" w:eastAsia="Times New Roman" w:hAnsi="Times New Roman" w:cs="Times New Roman"/>
        </w:rPr>
        <w:t xml:space="preserve"> of options holdings is given by:</w:t>
      </w:r>
    </w:p>
    <w:p w:rsidR="00F06CFF" w:rsidRPr="00834FC4" w:rsidRDefault="00F06CFF" w:rsidP="00EB7A9C">
      <w:pPr>
        <w:tabs>
          <w:tab w:val="center" w:pos="4680"/>
          <w:tab w:val="right" w:pos="9360"/>
        </w:tabs>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eastAsia="Times New Roman" w:hAnsi="Times New Roman" w:cs="Times New Roman"/>
        </w:rPr>
        <w:tab/>
      </w:r>
      <w:r w:rsidRPr="00834FC4">
        <w:rPr>
          <w:rFonts w:ascii="Times New Roman" w:eastAsia="Times New Roman" w:hAnsi="Times New Roman" w:cs="Times New Roman"/>
          <w:position w:val="-10"/>
        </w:rPr>
        <w:object w:dxaOrig="7460" w:dyaOrig="380">
          <v:shape id="_x0000_i1029" type="#_x0000_t75" style="width:360.65pt;height:18.8pt" o:ole="">
            <v:imagedata r:id="rId22" o:title=""/>
          </v:shape>
          <o:OLEObject Type="Embed" ProgID="Equation.DSMT4" ShapeID="_x0000_i1029" DrawAspect="Content" ObjectID="_1423907478" r:id="rId23"/>
        </w:object>
      </w:r>
      <w:r w:rsidRPr="00834FC4">
        <w:rPr>
          <w:rFonts w:ascii="Times New Roman" w:eastAsia="Times New Roman" w:hAnsi="Times New Roman" w:cs="Times New Roman"/>
        </w:rPr>
        <w:tab/>
        <w:t>(A.3)</w:t>
      </w:r>
    </w:p>
    <w:p w:rsidR="00F06CFF" w:rsidRPr="00834FC4" w:rsidRDefault="00F06CFF" w:rsidP="00EB7A9C">
      <w:pPr>
        <w:widowControl w:val="0"/>
        <w:autoSpaceDE w:val="0"/>
        <w:autoSpaceDN w:val="0"/>
        <w:adjustRightInd w:val="0"/>
        <w:spacing w:after="120" w:line="360" w:lineRule="auto"/>
        <w:ind w:firstLine="720"/>
        <w:jc w:val="both"/>
        <w:rPr>
          <w:rFonts w:ascii="Times New Roman" w:eastAsia="Times New Roman" w:hAnsi="Times New Roman" w:cs="Times New Roman"/>
        </w:rPr>
      </w:pPr>
      <w:proofErr w:type="gramStart"/>
      <w:r w:rsidRPr="00834FC4">
        <w:rPr>
          <w:rFonts w:ascii="Times New Roman" w:eastAsia="Times New Roman" w:hAnsi="Times New Roman" w:cs="Times New Roman"/>
        </w:rPr>
        <w:t>where</w:t>
      </w:r>
      <w:proofErr w:type="gramEnd"/>
      <w:r w:rsidRPr="00834FC4">
        <w:rPr>
          <w:rFonts w:ascii="Times New Roman" w:eastAsia="Times New Roman" w:hAnsi="Times New Roman" w:cs="Times New Roman"/>
        </w:rPr>
        <w:tab/>
      </w:r>
      <w:r w:rsidRPr="00834FC4">
        <w:rPr>
          <w:rFonts w:ascii="Times New Roman" w:eastAsia="Times New Roman" w:hAnsi="Times New Roman" w:cs="Times New Roman"/>
          <w:i/>
        </w:rPr>
        <w:t>N =</w:t>
      </w:r>
      <w:r w:rsidRPr="00834FC4">
        <w:rPr>
          <w:rFonts w:ascii="Times New Roman" w:eastAsia="Times New Roman" w:hAnsi="Times New Roman" w:cs="Times New Roman"/>
        </w:rPr>
        <w:t xml:space="preserve"> probability density function for normal distribution</w:t>
      </w:r>
    </w:p>
    <w:p w:rsidR="005A26E3" w:rsidRPr="00834FC4" w:rsidRDefault="00470867" w:rsidP="00EB7A9C">
      <w:pPr>
        <w:autoSpaceDE w:val="0"/>
        <w:autoSpaceDN w:val="0"/>
        <w:adjustRightInd w:val="0"/>
        <w:spacing w:after="120" w:line="360" w:lineRule="auto"/>
        <w:ind w:firstLine="720"/>
        <w:jc w:val="both"/>
        <w:rPr>
          <w:rFonts w:ascii="Times New Roman" w:hAnsi="Times New Roman" w:cs="Times New Roman"/>
        </w:rPr>
      </w:pPr>
      <w:proofErr w:type="spellStart"/>
      <w:r w:rsidRPr="00834FC4">
        <w:rPr>
          <w:rFonts w:ascii="Times New Roman" w:hAnsi="Times New Roman" w:cs="Times New Roman"/>
        </w:rPr>
        <w:t>ExecuComp</w:t>
      </w:r>
      <w:proofErr w:type="spellEnd"/>
      <w:r w:rsidRPr="00834FC4">
        <w:rPr>
          <w:rFonts w:ascii="Times New Roman" w:hAnsi="Times New Roman" w:cs="Times New Roman"/>
        </w:rPr>
        <w:t xml:space="preserve"> provides details </w:t>
      </w:r>
      <w:r w:rsidR="005A26E3" w:rsidRPr="00834FC4">
        <w:rPr>
          <w:rFonts w:ascii="Times New Roman" w:hAnsi="Times New Roman" w:cs="Times New Roman"/>
        </w:rPr>
        <w:t xml:space="preserve">on compensation packages such </w:t>
      </w:r>
      <w:r w:rsidRPr="00834FC4">
        <w:rPr>
          <w:rFonts w:ascii="Times New Roman" w:hAnsi="Times New Roman" w:cs="Times New Roman"/>
        </w:rPr>
        <w:t>as size, exercise price, and time to maturity for each of the current year’s</w:t>
      </w:r>
      <w:r w:rsidR="005A26E3" w:rsidRPr="00834FC4">
        <w:rPr>
          <w:rFonts w:ascii="Times New Roman" w:hAnsi="Times New Roman" w:cs="Times New Roman"/>
        </w:rPr>
        <w:t xml:space="preserve"> </w:t>
      </w:r>
      <w:r w:rsidRPr="00834FC4">
        <w:rPr>
          <w:rFonts w:ascii="Times New Roman" w:hAnsi="Times New Roman" w:cs="Times New Roman"/>
        </w:rPr>
        <w:t xml:space="preserve">option grants, but for previously </w:t>
      </w:r>
      <w:r w:rsidR="005A26E3" w:rsidRPr="00834FC4">
        <w:rPr>
          <w:rFonts w:ascii="Times New Roman" w:hAnsi="Times New Roman" w:cs="Times New Roman"/>
        </w:rPr>
        <w:t xml:space="preserve">granted options (exercisable or </w:t>
      </w:r>
      <w:proofErr w:type="spellStart"/>
      <w:r w:rsidR="005A26E3" w:rsidRPr="00834FC4">
        <w:rPr>
          <w:rFonts w:ascii="Times New Roman" w:hAnsi="Times New Roman" w:cs="Times New Roman"/>
        </w:rPr>
        <w:t>u</w:t>
      </w:r>
      <w:r w:rsidRPr="00834FC4">
        <w:rPr>
          <w:rFonts w:ascii="Times New Roman" w:hAnsi="Times New Roman" w:cs="Times New Roman"/>
        </w:rPr>
        <w:t>nexercisable</w:t>
      </w:r>
      <w:proofErr w:type="spellEnd"/>
      <w:r w:rsidRPr="00834FC4">
        <w:rPr>
          <w:rFonts w:ascii="Times New Roman" w:hAnsi="Times New Roman" w:cs="Times New Roman"/>
        </w:rPr>
        <w:t>), it merely gives aggregate size and realizable value</w:t>
      </w:r>
      <w:r w:rsidR="005A26E3" w:rsidRPr="00834FC4">
        <w:rPr>
          <w:rFonts w:ascii="Times New Roman" w:hAnsi="Times New Roman" w:cs="Times New Roman"/>
        </w:rPr>
        <w:t xml:space="preserve"> </w:t>
      </w:r>
      <w:r w:rsidRPr="00834FC4">
        <w:rPr>
          <w:rFonts w:ascii="Times New Roman" w:hAnsi="Times New Roman" w:cs="Times New Roman"/>
        </w:rPr>
        <w:t>(the potential gains from exercising all options at the fiscal-yearend</w:t>
      </w:r>
      <w:r w:rsidR="005A26E3" w:rsidRPr="00834FC4">
        <w:rPr>
          <w:rFonts w:ascii="Times New Roman" w:hAnsi="Times New Roman" w:cs="Times New Roman"/>
        </w:rPr>
        <w:t xml:space="preserve"> </w:t>
      </w:r>
      <w:r w:rsidRPr="00834FC4">
        <w:rPr>
          <w:rFonts w:ascii="Times New Roman" w:hAnsi="Times New Roman" w:cs="Times New Roman"/>
        </w:rPr>
        <w:t xml:space="preserve">price). Core and </w:t>
      </w:r>
      <w:proofErr w:type="spellStart"/>
      <w:r w:rsidRPr="00834FC4">
        <w:rPr>
          <w:rFonts w:ascii="Times New Roman" w:hAnsi="Times New Roman" w:cs="Times New Roman"/>
        </w:rPr>
        <w:t>Guay’s</w:t>
      </w:r>
      <w:proofErr w:type="spellEnd"/>
      <w:r w:rsidRPr="00834FC4">
        <w:rPr>
          <w:rFonts w:ascii="Times New Roman" w:hAnsi="Times New Roman" w:cs="Times New Roman"/>
        </w:rPr>
        <w:t xml:space="preserve"> method is used to estimate the exercise</w:t>
      </w:r>
      <w:r w:rsidR="005A26E3" w:rsidRPr="00834FC4">
        <w:rPr>
          <w:rFonts w:ascii="Times New Roman" w:hAnsi="Times New Roman" w:cs="Times New Roman"/>
        </w:rPr>
        <w:t xml:space="preserve"> </w:t>
      </w:r>
      <w:r w:rsidRPr="00834FC4">
        <w:rPr>
          <w:rFonts w:ascii="Times New Roman" w:hAnsi="Times New Roman" w:cs="Times New Roman"/>
        </w:rPr>
        <w:t>price and time to maturity for these</w:t>
      </w:r>
      <w:r w:rsidR="005A26E3" w:rsidRPr="00834FC4">
        <w:rPr>
          <w:rFonts w:ascii="Times New Roman" w:hAnsi="Times New Roman" w:cs="Times New Roman"/>
        </w:rPr>
        <w:t xml:space="preserve"> options so that the formula</w:t>
      </w:r>
      <w:r w:rsidR="00745CB9" w:rsidRPr="00834FC4">
        <w:rPr>
          <w:rFonts w:ascii="Times New Roman" w:hAnsi="Times New Roman" w:cs="Times New Roman"/>
        </w:rPr>
        <w:t>e A.2 and</w:t>
      </w:r>
      <w:r w:rsidR="005A26E3" w:rsidRPr="00834FC4">
        <w:rPr>
          <w:rFonts w:ascii="Times New Roman" w:hAnsi="Times New Roman" w:cs="Times New Roman"/>
        </w:rPr>
        <w:t xml:space="preserve"> A.3</w:t>
      </w:r>
      <w:r w:rsidRPr="00834FC4">
        <w:rPr>
          <w:rFonts w:ascii="Times New Roman" w:hAnsi="Times New Roman" w:cs="Times New Roman"/>
        </w:rPr>
        <w:t xml:space="preserve"> can be applied.</w:t>
      </w:r>
    </w:p>
    <w:p w:rsidR="00F318D1" w:rsidRPr="00834FC4" w:rsidRDefault="005A26E3" w:rsidP="00EB7A9C">
      <w:pPr>
        <w:autoSpaceDE w:val="0"/>
        <w:autoSpaceDN w:val="0"/>
        <w:adjustRightInd w:val="0"/>
        <w:spacing w:after="120" w:line="360" w:lineRule="auto"/>
        <w:ind w:firstLine="720"/>
        <w:jc w:val="both"/>
        <w:rPr>
          <w:rFonts w:ascii="Times New Roman" w:hAnsi="Times New Roman" w:cs="Times New Roman"/>
        </w:rPr>
      </w:pPr>
      <w:r w:rsidRPr="00834FC4">
        <w:rPr>
          <w:rFonts w:ascii="Times New Roman" w:hAnsi="Times New Roman" w:cs="Times New Roman"/>
        </w:rPr>
        <w:t>First, w</w:t>
      </w:r>
      <w:r w:rsidR="00470867" w:rsidRPr="00834FC4">
        <w:rPr>
          <w:rFonts w:ascii="Times New Roman" w:hAnsi="Times New Roman" w:cs="Times New Roman"/>
        </w:rPr>
        <w:t>e directly apply the above formula to calculate the delta and</w:t>
      </w:r>
      <w:r w:rsidR="00745CB9" w:rsidRPr="00834FC4">
        <w:rPr>
          <w:rFonts w:ascii="Times New Roman" w:hAnsi="Times New Roman" w:cs="Times New Roman"/>
        </w:rPr>
        <w:t xml:space="preserve"> </w:t>
      </w:r>
      <w:proofErr w:type="spellStart"/>
      <w:proofErr w:type="gramStart"/>
      <w:r w:rsidR="00470867" w:rsidRPr="00834FC4">
        <w:rPr>
          <w:rFonts w:ascii="Times New Roman" w:hAnsi="Times New Roman" w:cs="Times New Roman"/>
        </w:rPr>
        <w:t>vega</w:t>
      </w:r>
      <w:proofErr w:type="spellEnd"/>
      <w:proofErr w:type="gramEnd"/>
      <w:r w:rsidR="00470867" w:rsidRPr="00834FC4">
        <w:rPr>
          <w:rFonts w:ascii="Times New Roman" w:hAnsi="Times New Roman" w:cs="Times New Roman"/>
        </w:rPr>
        <w:t xml:space="preserve"> of each current-year option grant. The delta and </w:t>
      </w:r>
      <w:proofErr w:type="spellStart"/>
      <w:proofErr w:type="gramStart"/>
      <w:r w:rsidR="00470867" w:rsidRPr="00834FC4">
        <w:rPr>
          <w:rFonts w:ascii="Times New Roman" w:hAnsi="Times New Roman" w:cs="Times New Roman"/>
        </w:rPr>
        <w:t>vega</w:t>
      </w:r>
      <w:proofErr w:type="spellEnd"/>
      <w:proofErr w:type="gramEnd"/>
      <w:r w:rsidR="00470867" w:rsidRPr="00834FC4">
        <w:rPr>
          <w:rFonts w:ascii="Times New Roman" w:hAnsi="Times New Roman" w:cs="Times New Roman"/>
        </w:rPr>
        <w:t xml:space="preserve"> of</w:t>
      </w:r>
      <w:r w:rsidR="00F318D1" w:rsidRPr="00834FC4">
        <w:rPr>
          <w:rFonts w:ascii="Times New Roman" w:hAnsi="Times New Roman" w:cs="Times New Roman"/>
        </w:rPr>
        <w:t xml:space="preserve"> </w:t>
      </w:r>
      <w:r w:rsidR="00470867" w:rsidRPr="00834FC4">
        <w:rPr>
          <w:rFonts w:ascii="Times New Roman" w:hAnsi="Times New Roman" w:cs="Times New Roman"/>
        </w:rPr>
        <w:t>the portfolio of newly granted options are the sum of the delta</w:t>
      </w:r>
      <w:r w:rsidR="00745CB9" w:rsidRPr="00834FC4">
        <w:rPr>
          <w:rFonts w:ascii="Times New Roman" w:hAnsi="Times New Roman" w:cs="Times New Roman"/>
        </w:rPr>
        <w:t xml:space="preserve"> </w:t>
      </w:r>
      <w:r w:rsidR="00470867" w:rsidRPr="00834FC4">
        <w:rPr>
          <w:rFonts w:ascii="Times New Roman" w:hAnsi="Times New Roman" w:cs="Times New Roman"/>
        </w:rPr>
        <w:t xml:space="preserve">and </w:t>
      </w:r>
      <w:proofErr w:type="spellStart"/>
      <w:r w:rsidR="00470867" w:rsidRPr="00834FC4">
        <w:rPr>
          <w:rFonts w:ascii="Times New Roman" w:hAnsi="Times New Roman" w:cs="Times New Roman"/>
        </w:rPr>
        <w:t>vega</w:t>
      </w:r>
      <w:proofErr w:type="spellEnd"/>
      <w:r w:rsidR="00470867" w:rsidRPr="00834FC4">
        <w:rPr>
          <w:rFonts w:ascii="Times New Roman" w:hAnsi="Times New Roman" w:cs="Times New Roman"/>
        </w:rPr>
        <w:t xml:space="preserve"> of each new grant.</w:t>
      </w:r>
    </w:p>
    <w:p w:rsidR="00470867" w:rsidRPr="00834FC4" w:rsidRDefault="00745CB9" w:rsidP="00EB7A9C">
      <w:pPr>
        <w:autoSpaceDE w:val="0"/>
        <w:autoSpaceDN w:val="0"/>
        <w:adjustRightInd w:val="0"/>
        <w:spacing w:after="120" w:line="360" w:lineRule="auto"/>
        <w:ind w:firstLine="720"/>
        <w:jc w:val="both"/>
        <w:rPr>
          <w:rFonts w:ascii="Times New Roman" w:hAnsi="Times New Roman" w:cs="Times New Roman"/>
        </w:rPr>
      </w:pPr>
      <w:r w:rsidRPr="00834FC4">
        <w:rPr>
          <w:rFonts w:ascii="Times New Roman" w:hAnsi="Times New Roman" w:cs="Times New Roman"/>
        </w:rPr>
        <w:t>Then, a</w:t>
      </w:r>
      <w:r w:rsidR="00470867" w:rsidRPr="00834FC4">
        <w:rPr>
          <w:rFonts w:ascii="Times New Roman" w:hAnsi="Times New Roman" w:cs="Times New Roman"/>
        </w:rPr>
        <w:t>fter removing newly granted options, if any, from the fiscal</w:t>
      </w:r>
      <w:r w:rsidRPr="00834FC4">
        <w:rPr>
          <w:rFonts w:ascii="Times New Roman" w:hAnsi="Times New Roman" w:cs="Times New Roman"/>
        </w:rPr>
        <w:t xml:space="preserve"> </w:t>
      </w:r>
      <w:r w:rsidR="00470867" w:rsidRPr="00834FC4">
        <w:rPr>
          <w:rFonts w:ascii="Times New Roman" w:hAnsi="Times New Roman" w:cs="Times New Roman"/>
        </w:rPr>
        <w:t>year-end option portfolio, we o</w:t>
      </w:r>
      <w:r w:rsidRPr="00834FC4">
        <w:rPr>
          <w:rFonts w:ascii="Times New Roman" w:hAnsi="Times New Roman" w:cs="Times New Roman"/>
        </w:rPr>
        <w:t xml:space="preserve">btain a portfolio of previously </w:t>
      </w:r>
      <w:r w:rsidR="00470867" w:rsidRPr="00834FC4">
        <w:rPr>
          <w:rFonts w:ascii="Times New Roman" w:hAnsi="Times New Roman" w:cs="Times New Roman"/>
        </w:rPr>
        <w:t>granted options only. Some of these options are exercisable</w:t>
      </w:r>
      <w:r w:rsidRPr="00834FC4">
        <w:rPr>
          <w:rFonts w:ascii="Times New Roman" w:hAnsi="Times New Roman" w:cs="Times New Roman"/>
        </w:rPr>
        <w:t xml:space="preserve"> </w:t>
      </w:r>
      <w:r w:rsidR="00470867" w:rsidRPr="00834FC4">
        <w:rPr>
          <w:rFonts w:ascii="Times New Roman" w:hAnsi="Times New Roman" w:cs="Times New Roman"/>
        </w:rPr>
        <w:t xml:space="preserve">(vested) and others are </w:t>
      </w:r>
      <w:proofErr w:type="spellStart"/>
      <w:r w:rsidR="00470867" w:rsidRPr="00834FC4">
        <w:rPr>
          <w:rFonts w:ascii="Times New Roman" w:hAnsi="Times New Roman" w:cs="Times New Roman"/>
        </w:rPr>
        <w:t>unexercisable</w:t>
      </w:r>
      <w:proofErr w:type="spellEnd"/>
      <w:r w:rsidR="00470867" w:rsidRPr="00834FC4">
        <w:rPr>
          <w:rFonts w:ascii="Times New Roman" w:hAnsi="Times New Roman" w:cs="Times New Roman"/>
        </w:rPr>
        <w:t xml:space="preserve"> (unvested). We compute</w:t>
      </w:r>
      <w:r w:rsidRPr="00834FC4">
        <w:rPr>
          <w:rFonts w:ascii="Times New Roman" w:hAnsi="Times New Roman" w:cs="Times New Roman"/>
        </w:rPr>
        <w:t xml:space="preserve"> </w:t>
      </w:r>
      <w:r w:rsidR="00470867" w:rsidRPr="00834FC4">
        <w:rPr>
          <w:rFonts w:ascii="Times New Roman" w:hAnsi="Times New Roman" w:cs="Times New Roman"/>
        </w:rPr>
        <w:t xml:space="preserve">the delta and </w:t>
      </w:r>
      <w:proofErr w:type="spellStart"/>
      <w:proofErr w:type="gramStart"/>
      <w:r w:rsidR="00470867" w:rsidRPr="00834FC4">
        <w:rPr>
          <w:rFonts w:ascii="Times New Roman" w:hAnsi="Times New Roman" w:cs="Times New Roman"/>
        </w:rPr>
        <w:t>vega</w:t>
      </w:r>
      <w:proofErr w:type="spellEnd"/>
      <w:proofErr w:type="gramEnd"/>
      <w:r w:rsidR="00470867" w:rsidRPr="00834FC4">
        <w:rPr>
          <w:rFonts w:ascii="Times New Roman" w:hAnsi="Times New Roman" w:cs="Times New Roman"/>
        </w:rPr>
        <w:t xml:space="preserve"> separately for the portfolio of exercisable</w:t>
      </w:r>
      <w:r w:rsidRPr="00834FC4">
        <w:rPr>
          <w:rFonts w:ascii="Times New Roman" w:hAnsi="Times New Roman" w:cs="Times New Roman"/>
        </w:rPr>
        <w:t xml:space="preserve"> </w:t>
      </w:r>
      <w:r w:rsidR="00470867" w:rsidRPr="00834FC4">
        <w:rPr>
          <w:rFonts w:ascii="Times New Roman" w:hAnsi="Times New Roman" w:cs="Times New Roman"/>
        </w:rPr>
        <w:t xml:space="preserve">options and the portfolio of </w:t>
      </w:r>
      <w:proofErr w:type="spellStart"/>
      <w:r w:rsidR="00470867" w:rsidRPr="00834FC4">
        <w:rPr>
          <w:rFonts w:ascii="Times New Roman" w:hAnsi="Times New Roman" w:cs="Times New Roman"/>
        </w:rPr>
        <w:t>unexercisable</w:t>
      </w:r>
      <w:proofErr w:type="spellEnd"/>
      <w:r w:rsidR="00470867" w:rsidRPr="00834FC4">
        <w:rPr>
          <w:rFonts w:ascii="Times New Roman" w:hAnsi="Times New Roman" w:cs="Times New Roman"/>
        </w:rPr>
        <w:t xml:space="preserve"> options.</w:t>
      </w:r>
      <w:r w:rsidRPr="00834FC4">
        <w:rPr>
          <w:rFonts w:ascii="Times New Roman" w:hAnsi="Times New Roman" w:cs="Times New Roman"/>
        </w:rPr>
        <w:t xml:space="preserve"> To find the exercise price, f</w:t>
      </w:r>
      <w:r w:rsidR="00470867" w:rsidRPr="00834FC4">
        <w:rPr>
          <w:rFonts w:ascii="Times New Roman" w:hAnsi="Times New Roman" w:cs="Times New Roman"/>
        </w:rPr>
        <w:t>or each portfolio, we first divide the aggregate</w:t>
      </w:r>
      <w:r w:rsidRPr="00834FC4">
        <w:rPr>
          <w:rFonts w:ascii="Times New Roman" w:hAnsi="Times New Roman" w:cs="Times New Roman"/>
        </w:rPr>
        <w:t xml:space="preserve"> </w:t>
      </w:r>
      <w:r w:rsidR="00470867" w:rsidRPr="00834FC4">
        <w:rPr>
          <w:rFonts w:ascii="Times New Roman" w:hAnsi="Times New Roman" w:cs="Times New Roman"/>
        </w:rPr>
        <w:t>realizable value by the number of options in the portfolio,</w:t>
      </w:r>
      <w:r w:rsidRPr="00834FC4">
        <w:rPr>
          <w:rFonts w:ascii="Times New Roman" w:hAnsi="Times New Roman" w:cs="Times New Roman"/>
        </w:rPr>
        <w:t xml:space="preserve"> </w:t>
      </w:r>
      <w:r w:rsidR="00470867" w:rsidRPr="00834FC4">
        <w:rPr>
          <w:rFonts w:ascii="Times New Roman" w:hAnsi="Times New Roman" w:cs="Times New Roman"/>
        </w:rPr>
        <w:t>which gives the average of (stock price – exercise price). We</w:t>
      </w:r>
      <w:r w:rsidRPr="00834FC4">
        <w:rPr>
          <w:rFonts w:ascii="Times New Roman" w:hAnsi="Times New Roman" w:cs="Times New Roman"/>
        </w:rPr>
        <w:t xml:space="preserve"> </w:t>
      </w:r>
      <w:r w:rsidR="00470867" w:rsidRPr="00834FC4">
        <w:rPr>
          <w:rFonts w:ascii="Times New Roman" w:hAnsi="Times New Roman" w:cs="Times New Roman"/>
        </w:rPr>
        <w:t>then subtract this number fr</w:t>
      </w:r>
      <w:r w:rsidRPr="00834FC4">
        <w:rPr>
          <w:rFonts w:ascii="Times New Roman" w:hAnsi="Times New Roman" w:cs="Times New Roman"/>
        </w:rPr>
        <w:t xml:space="preserve">om the stock price to arrive at </w:t>
      </w:r>
      <w:r w:rsidR="00470867" w:rsidRPr="00834FC4">
        <w:rPr>
          <w:rFonts w:ascii="Times New Roman" w:hAnsi="Times New Roman" w:cs="Times New Roman"/>
        </w:rPr>
        <w:t>the average exercise price.</w:t>
      </w:r>
    </w:p>
    <w:p w:rsidR="00470867" w:rsidRPr="00834FC4" w:rsidRDefault="00745CB9" w:rsidP="00EB7A9C">
      <w:pPr>
        <w:autoSpaceDE w:val="0"/>
        <w:autoSpaceDN w:val="0"/>
        <w:adjustRightInd w:val="0"/>
        <w:spacing w:after="120" w:line="360" w:lineRule="auto"/>
        <w:ind w:firstLine="720"/>
        <w:jc w:val="both"/>
        <w:rPr>
          <w:rFonts w:ascii="Times New Roman" w:eastAsia="Times New Roman" w:hAnsi="Times New Roman" w:cs="Times New Roman"/>
        </w:rPr>
      </w:pPr>
      <w:r w:rsidRPr="00834FC4">
        <w:rPr>
          <w:rFonts w:ascii="Times New Roman" w:hAnsi="Times New Roman" w:cs="Times New Roman"/>
        </w:rPr>
        <w:t>To estimate time to maturity, f</w:t>
      </w:r>
      <w:r w:rsidR="00470867" w:rsidRPr="00834FC4">
        <w:rPr>
          <w:rFonts w:ascii="Times New Roman" w:hAnsi="Times New Roman" w:cs="Times New Roman"/>
        </w:rPr>
        <w:t xml:space="preserve">or </w:t>
      </w:r>
      <w:proofErr w:type="spellStart"/>
      <w:r w:rsidR="00470867" w:rsidRPr="00834FC4">
        <w:rPr>
          <w:rFonts w:ascii="Times New Roman" w:hAnsi="Times New Roman" w:cs="Times New Roman"/>
        </w:rPr>
        <w:t>unexercisable</w:t>
      </w:r>
      <w:proofErr w:type="spellEnd"/>
      <w:r w:rsidR="00470867" w:rsidRPr="00834FC4">
        <w:rPr>
          <w:rFonts w:ascii="Times New Roman" w:hAnsi="Times New Roman" w:cs="Times New Roman"/>
        </w:rPr>
        <w:t xml:space="preserve"> options, we set the average</w:t>
      </w:r>
      <w:r w:rsidRPr="00834FC4">
        <w:rPr>
          <w:rFonts w:ascii="Times New Roman" w:hAnsi="Times New Roman" w:cs="Times New Roman"/>
        </w:rPr>
        <w:t xml:space="preserve"> </w:t>
      </w:r>
      <w:r w:rsidR="00470867" w:rsidRPr="00834FC4">
        <w:rPr>
          <w:rFonts w:ascii="Times New Roman" w:hAnsi="Times New Roman" w:cs="Times New Roman"/>
        </w:rPr>
        <w:t>time to maturity equal to one year less than the time to maturity</w:t>
      </w:r>
      <w:r w:rsidRPr="00834FC4">
        <w:rPr>
          <w:rFonts w:ascii="Times New Roman" w:hAnsi="Times New Roman" w:cs="Times New Roman"/>
        </w:rPr>
        <w:t xml:space="preserve"> </w:t>
      </w:r>
      <w:r w:rsidR="00470867" w:rsidRPr="00834FC4">
        <w:rPr>
          <w:rFonts w:ascii="Times New Roman" w:hAnsi="Times New Roman" w:cs="Times New Roman"/>
        </w:rPr>
        <w:t>of the current year’s options grants, or equal to 9 years if no</w:t>
      </w:r>
      <w:r w:rsidRPr="00834FC4">
        <w:rPr>
          <w:rFonts w:ascii="Times New Roman" w:hAnsi="Times New Roman" w:cs="Times New Roman"/>
        </w:rPr>
        <w:t xml:space="preserve"> </w:t>
      </w:r>
      <w:r w:rsidR="00470867" w:rsidRPr="00834FC4">
        <w:rPr>
          <w:rFonts w:ascii="Times New Roman" w:hAnsi="Times New Roman" w:cs="Times New Roman"/>
        </w:rPr>
        <w:t>grant was made in the current year; for exercisable options, we</w:t>
      </w:r>
      <w:r w:rsidRPr="00834FC4">
        <w:rPr>
          <w:rFonts w:ascii="Times New Roman" w:hAnsi="Times New Roman" w:cs="Times New Roman"/>
        </w:rPr>
        <w:t xml:space="preserve"> </w:t>
      </w:r>
      <w:r w:rsidR="00470867" w:rsidRPr="00834FC4">
        <w:rPr>
          <w:rFonts w:ascii="Times New Roman" w:hAnsi="Times New Roman" w:cs="Times New Roman"/>
        </w:rPr>
        <w:t>set the average time to maturity equal to 4 years less than the</w:t>
      </w:r>
      <w:r w:rsidRPr="00834FC4">
        <w:rPr>
          <w:rFonts w:ascii="Times New Roman" w:hAnsi="Times New Roman" w:cs="Times New Roman"/>
        </w:rPr>
        <w:t xml:space="preserve"> </w:t>
      </w:r>
      <w:r w:rsidR="00470867" w:rsidRPr="00834FC4">
        <w:rPr>
          <w:rFonts w:ascii="Times New Roman" w:hAnsi="Times New Roman" w:cs="Times New Roman"/>
        </w:rPr>
        <w:t>time to maturity of the current year’</w:t>
      </w:r>
      <w:r w:rsidRPr="00834FC4">
        <w:rPr>
          <w:rFonts w:ascii="Times New Roman" w:hAnsi="Times New Roman" w:cs="Times New Roman"/>
        </w:rPr>
        <w:t xml:space="preserve">s options grants, or 6 years </w:t>
      </w:r>
      <w:r w:rsidR="00470867" w:rsidRPr="00834FC4">
        <w:rPr>
          <w:rFonts w:ascii="Times New Roman" w:hAnsi="Times New Roman" w:cs="Times New Roman"/>
        </w:rPr>
        <w:t>if no grant was made in the current year.</w:t>
      </w:r>
      <w:r w:rsidRPr="00834FC4">
        <w:rPr>
          <w:rFonts w:ascii="Times New Roman" w:hAnsi="Times New Roman" w:cs="Times New Roman"/>
        </w:rPr>
        <w:t xml:space="preserve"> </w:t>
      </w:r>
      <w:r w:rsidR="00470867" w:rsidRPr="00834FC4">
        <w:rPr>
          <w:rFonts w:ascii="Times New Roman" w:hAnsi="Times New Roman" w:cs="Times New Roman"/>
        </w:rPr>
        <w:t>Using the imputed average exe</w:t>
      </w:r>
      <w:r w:rsidRPr="00834FC4">
        <w:rPr>
          <w:rFonts w:ascii="Times New Roman" w:hAnsi="Times New Roman" w:cs="Times New Roman"/>
        </w:rPr>
        <w:t xml:space="preserve">rcise price and average time to </w:t>
      </w:r>
      <w:r w:rsidR="00470867" w:rsidRPr="00834FC4">
        <w:rPr>
          <w:rFonts w:ascii="Times New Roman" w:hAnsi="Times New Roman" w:cs="Times New Roman"/>
        </w:rPr>
        <w:t>maturit</w:t>
      </w:r>
      <w:r w:rsidRPr="00834FC4">
        <w:rPr>
          <w:rFonts w:ascii="Times New Roman" w:hAnsi="Times New Roman" w:cs="Times New Roman"/>
        </w:rPr>
        <w:t xml:space="preserve">y, we can apply the formulae A.2 and A.3 to calculate </w:t>
      </w:r>
      <w:r w:rsidR="00470867" w:rsidRPr="00834FC4">
        <w:rPr>
          <w:rFonts w:ascii="Times New Roman" w:hAnsi="Times New Roman" w:cs="Times New Roman"/>
        </w:rPr>
        <w:t xml:space="preserve">the delta and </w:t>
      </w:r>
      <w:proofErr w:type="spellStart"/>
      <w:proofErr w:type="gramStart"/>
      <w:r w:rsidR="00470867" w:rsidRPr="00834FC4">
        <w:rPr>
          <w:rFonts w:ascii="Times New Roman" w:hAnsi="Times New Roman" w:cs="Times New Roman"/>
        </w:rPr>
        <w:t>vega</w:t>
      </w:r>
      <w:proofErr w:type="spellEnd"/>
      <w:proofErr w:type="gramEnd"/>
      <w:r w:rsidR="00470867" w:rsidRPr="00834FC4">
        <w:rPr>
          <w:rFonts w:ascii="Times New Roman" w:hAnsi="Times New Roman" w:cs="Times New Roman"/>
        </w:rPr>
        <w:t xml:space="preserve"> of the two portfolios of previously granted</w:t>
      </w:r>
      <w:r w:rsidRPr="00834FC4">
        <w:rPr>
          <w:rFonts w:ascii="Times New Roman" w:hAnsi="Times New Roman" w:cs="Times New Roman"/>
        </w:rPr>
        <w:t xml:space="preserve"> options. </w:t>
      </w:r>
      <w:r w:rsidR="00470867" w:rsidRPr="00834FC4">
        <w:rPr>
          <w:rFonts w:ascii="Times New Roman" w:hAnsi="Times New Roman" w:cs="Times New Roman"/>
        </w:rPr>
        <w:t xml:space="preserve">The delta and </w:t>
      </w:r>
      <w:proofErr w:type="spellStart"/>
      <w:proofErr w:type="gramStart"/>
      <w:r w:rsidR="00470867" w:rsidRPr="00834FC4">
        <w:rPr>
          <w:rFonts w:ascii="Times New Roman" w:hAnsi="Times New Roman" w:cs="Times New Roman"/>
        </w:rPr>
        <w:t>vega</w:t>
      </w:r>
      <w:proofErr w:type="spellEnd"/>
      <w:proofErr w:type="gramEnd"/>
      <w:r w:rsidR="00470867" w:rsidRPr="00834FC4">
        <w:rPr>
          <w:rFonts w:ascii="Times New Roman" w:hAnsi="Times New Roman" w:cs="Times New Roman"/>
        </w:rPr>
        <w:t xml:space="preserve"> of an executive’s entire option portfolio is</w:t>
      </w:r>
      <w:r w:rsidRPr="00834FC4">
        <w:rPr>
          <w:rFonts w:ascii="Times New Roman" w:hAnsi="Times New Roman" w:cs="Times New Roman"/>
        </w:rPr>
        <w:t xml:space="preserve"> </w:t>
      </w:r>
      <w:r w:rsidR="00470867" w:rsidRPr="00834FC4">
        <w:rPr>
          <w:rFonts w:ascii="Times New Roman" w:hAnsi="Times New Roman" w:cs="Times New Roman"/>
        </w:rPr>
        <w:t xml:space="preserve">the </w:t>
      </w:r>
      <w:r w:rsidRPr="00834FC4">
        <w:rPr>
          <w:rFonts w:ascii="Times New Roman" w:hAnsi="Times New Roman" w:cs="Times New Roman"/>
        </w:rPr>
        <w:t xml:space="preserve">sum of the delta and </w:t>
      </w:r>
      <w:proofErr w:type="spellStart"/>
      <w:r w:rsidRPr="00834FC4">
        <w:rPr>
          <w:rFonts w:ascii="Times New Roman" w:hAnsi="Times New Roman" w:cs="Times New Roman"/>
        </w:rPr>
        <w:t>vega</w:t>
      </w:r>
      <w:proofErr w:type="spellEnd"/>
      <w:r w:rsidRPr="00834FC4">
        <w:rPr>
          <w:rFonts w:ascii="Times New Roman" w:hAnsi="Times New Roman" w:cs="Times New Roman"/>
        </w:rPr>
        <w:t xml:space="preserve"> of</w:t>
      </w:r>
      <w:r w:rsidR="00470867" w:rsidRPr="00834FC4">
        <w:rPr>
          <w:rFonts w:ascii="Times New Roman" w:hAnsi="Times New Roman" w:cs="Times New Roman"/>
        </w:rPr>
        <w:t xml:space="preserve"> the portfolio of newly</w:t>
      </w:r>
      <w:r w:rsidRPr="00834FC4">
        <w:rPr>
          <w:rFonts w:ascii="Times New Roman" w:hAnsi="Times New Roman" w:cs="Times New Roman"/>
        </w:rPr>
        <w:t xml:space="preserve"> granted options, </w:t>
      </w:r>
      <w:r w:rsidR="00470867" w:rsidRPr="00834FC4">
        <w:rPr>
          <w:rFonts w:ascii="Times New Roman" w:hAnsi="Times New Roman" w:cs="Times New Roman"/>
        </w:rPr>
        <w:t xml:space="preserve">the portfolio of previously granted, </w:t>
      </w:r>
      <w:proofErr w:type="spellStart"/>
      <w:r w:rsidR="00470867" w:rsidRPr="00834FC4">
        <w:rPr>
          <w:rFonts w:ascii="Times New Roman" w:hAnsi="Times New Roman" w:cs="Times New Roman"/>
        </w:rPr>
        <w:t>unexercisable</w:t>
      </w:r>
      <w:proofErr w:type="spellEnd"/>
      <w:r w:rsidRPr="00834FC4">
        <w:rPr>
          <w:rFonts w:ascii="Times New Roman" w:hAnsi="Times New Roman" w:cs="Times New Roman"/>
        </w:rPr>
        <w:t xml:space="preserve"> options, and </w:t>
      </w:r>
      <w:r w:rsidR="00470867" w:rsidRPr="00834FC4">
        <w:rPr>
          <w:rFonts w:ascii="Times New Roman" w:hAnsi="Times New Roman" w:cs="Times New Roman"/>
        </w:rPr>
        <w:t>the portfolio of previously granted,</w:t>
      </w:r>
      <w:r w:rsidRPr="00834FC4">
        <w:rPr>
          <w:rFonts w:ascii="Times New Roman" w:hAnsi="Times New Roman" w:cs="Times New Roman"/>
        </w:rPr>
        <w:t xml:space="preserve"> </w:t>
      </w:r>
      <w:r w:rsidR="00470867" w:rsidRPr="00834FC4">
        <w:rPr>
          <w:rFonts w:ascii="Times New Roman" w:hAnsi="Times New Roman" w:cs="Times New Roman"/>
        </w:rPr>
        <w:t>exercisable options.</w:t>
      </w:r>
    </w:p>
    <w:p w:rsidR="00F06CFF" w:rsidRPr="00834FC4" w:rsidRDefault="00F06CFF" w:rsidP="00F06CFF">
      <w:pPr>
        <w:autoSpaceDE w:val="0"/>
        <w:autoSpaceDN w:val="0"/>
        <w:adjustRightInd w:val="0"/>
        <w:spacing w:after="180" w:line="360" w:lineRule="auto"/>
        <w:jc w:val="both"/>
        <w:rPr>
          <w:rFonts w:ascii="Times New Roman" w:eastAsia="Times New Roman" w:hAnsi="Times New Roman" w:cs="Times New Roman"/>
        </w:rPr>
      </w:pPr>
      <w:r w:rsidRPr="00834FC4">
        <w:rPr>
          <w:rFonts w:ascii="Times New Roman" w:eastAsia="Times New Roman" w:hAnsi="Times New Roman" w:cs="Times New Roman"/>
          <w:b/>
        </w:rPr>
        <w:t>Dividend dummy:</w:t>
      </w:r>
      <w:r w:rsidRPr="00834FC4">
        <w:rPr>
          <w:rFonts w:ascii="Times New Roman" w:eastAsia="Times New Roman" w:hAnsi="Times New Roman" w:cs="Times New Roman"/>
        </w:rPr>
        <w:t xml:space="preserve"> Equals one if a firm paid cash dividends in the given year and is zero otherwise.</w:t>
      </w:r>
    </w:p>
    <w:p w:rsidR="00F06CFF" w:rsidRPr="00834FC4" w:rsidRDefault="00F06CFF" w:rsidP="00F06CFF">
      <w:pPr>
        <w:autoSpaceDE w:val="0"/>
        <w:autoSpaceDN w:val="0"/>
        <w:adjustRightInd w:val="0"/>
        <w:spacing w:after="180" w:line="360" w:lineRule="auto"/>
        <w:jc w:val="both"/>
        <w:rPr>
          <w:rFonts w:ascii="Times New Roman" w:eastAsia="Times New Roman" w:hAnsi="Times New Roman" w:cs="Times New Roman"/>
        </w:rPr>
      </w:pPr>
      <w:r w:rsidRPr="00834FC4">
        <w:rPr>
          <w:rFonts w:ascii="Times New Roman" w:eastAsia="Times New Roman" w:hAnsi="Times New Roman" w:cs="Times New Roman"/>
          <w:b/>
        </w:rPr>
        <w:lastRenderedPageBreak/>
        <w:t xml:space="preserve">Firm size: </w:t>
      </w:r>
      <w:r w:rsidRPr="00834FC4">
        <w:rPr>
          <w:rFonts w:ascii="Times New Roman" w:eastAsia="Times New Roman" w:hAnsi="Times New Roman" w:cs="Times New Roman"/>
        </w:rPr>
        <w:t>The natural logarithm of the market value of assets. The market value of assets equals book value of assets minus book value of common stock plus market value of equity.</w:t>
      </w:r>
    </w:p>
    <w:p w:rsidR="006A59B2" w:rsidRDefault="00F06CFF" w:rsidP="00F06CFF">
      <w:pPr>
        <w:autoSpaceDE w:val="0"/>
        <w:autoSpaceDN w:val="0"/>
        <w:adjustRightInd w:val="0"/>
        <w:spacing w:after="180" w:line="360" w:lineRule="auto"/>
        <w:jc w:val="both"/>
        <w:rPr>
          <w:rFonts w:ascii="Times New Roman" w:eastAsia="Times New Roman" w:hAnsi="Times New Roman" w:cs="Times New Roman"/>
          <w:b/>
        </w:rPr>
      </w:pPr>
      <w:r w:rsidRPr="00834FC4">
        <w:rPr>
          <w:rFonts w:ascii="Times New Roman" w:eastAsia="Times New Roman" w:hAnsi="Times New Roman" w:cs="Times New Roman"/>
          <w:b/>
        </w:rPr>
        <w:t>Hedging dummy</w:t>
      </w:r>
      <w:r w:rsidRPr="00834FC4">
        <w:rPr>
          <w:rFonts w:ascii="Times New Roman" w:eastAsia="Times New Roman" w:hAnsi="Times New Roman" w:cs="Times New Roman"/>
        </w:rPr>
        <w:t xml:space="preserve">: Equals one if a firm is hedging (using derivatives) in a specific time period and is zero otherwise. </w:t>
      </w:r>
    </w:p>
    <w:p w:rsidR="00F06CFF" w:rsidRPr="00834FC4" w:rsidRDefault="00F06CFF" w:rsidP="00F06CFF">
      <w:pPr>
        <w:autoSpaceDE w:val="0"/>
        <w:autoSpaceDN w:val="0"/>
        <w:adjustRightInd w:val="0"/>
        <w:spacing w:after="180" w:line="360" w:lineRule="auto"/>
        <w:jc w:val="both"/>
        <w:rPr>
          <w:rFonts w:ascii="Times New Roman" w:eastAsia="Times New Roman" w:hAnsi="Times New Roman" w:cs="Times New Roman"/>
        </w:rPr>
      </w:pPr>
      <w:r w:rsidRPr="00834FC4">
        <w:rPr>
          <w:rFonts w:ascii="Times New Roman" w:eastAsia="Times New Roman" w:hAnsi="Times New Roman" w:cs="Times New Roman"/>
          <w:b/>
        </w:rPr>
        <w:t>Hedge ratio:</w:t>
      </w:r>
      <w:r w:rsidRPr="00834FC4">
        <w:rPr>
          <w:rFonts w:ascii="Times New Roman" w:eastAsia="Times New Roman" w:hAnsi="Times New Roman" w:cs="Times New Roman"/>
        </w:rPr>
        <w:t xml:space="preserve"> The hedge ratio is the fraction of the firm’s expected </w:t>
      </w:r>
      <w:r w:rsidR="006A59B2">
        <w:rPr>
          <w:rFonts w:ascii="Times New Roman" w:eastAsia="Times New Roman" w:hAnsi="Times New Roman" w:cs="Times New Roman"/>
        </w:rPr>
        <w:t xml:space="preserve">oil and gas </w:t>
      </w:r>
      <w:r w:rsidRPr="00834FC4">
        <w:rPr>
          <w:rFonts w:ascii="Times New Roman" w:eastAsia="Times New Roman" w:hAnsi="Times New Roman" w:cs="Times New Roman"/>
        </w:rPr>
        <w:t>production (or reserves) that it has hedged, calculated as the ratio of the portfolio delta for derivatives contracts to expected production</w:t>
      </w:r>
      <w:r w:rsidR="00654E9E" w:rsidRPr="00834FC4">
        <w:rPr>
          <w:rFonts w:ascii="Times New Roman" w:eastAsia="Times New Roman" w:hAnsi="Times New Roman" w:cs="Times New Roman"/>
        </w:rPr>
        <w:t xml:space="preserve"> or reserves</w:t>
      </w:r>
      <w:r w:rsidRPr="00834FC4">
        <w:rPr>
          <w:rFonts w:ascii="Times New Roman" w:eastAsia="Times New Roman" w:hAnsi="Times New Roman" w:cs="Times New Roman"/>
        </w:rPr>
        <w:t xml:space="preserve"> (in </w:t>
      </w:r>
      <w:r w:rsidR="00654E9E" w:rsidRPr="00834FC4">
        <w:rPr>
          <w:rFonts w:ascii="Times New Roman" w:eastAsia="Times New Roman" w:hAnsi="Times New Roman" w:cs="Times New Roman"/>
        </w:rPr>
        <w:t>barrels of oil equivalent</w:t>
      </w:r>
      <w:r w:rsidRPr="00834FC4">
        <w:rPr>
          <w:rFonts w:ascii="Times New Roman" w:eastAsia="Times New Roman" w:hAnsi="Times New Roman" w:cs="Times New Roman"/>
        </w:rPr>
        <w:t>).</w:t>
      </w:r>
    </w:p>
    <w:p w:rsidR="00F06CFF" w:rsidRPr="00F06CFF" w:rsidRDefault="00F06CFF" w:rsidP="00F06CFF">
      <w:pPr>
        <w:tabs>
          <w:tab w:val="center" w:pos="4320"/>
          <w:tab w:val="right" w:pos="8640"/>
        </w:tabs>
        <w:spacing w:after="180" w:line="360" w:lineRule="auto"/>
        <w:jc w:val="both"/>
        <w:rPr>
          <w:rFonts w:ascii="Times New Roman" w:eastAsia="Times New Roman" w:hAnsi="Times New Roman" w:cs="Times New Roman"/>
        </w:rPr>
      </w:pPr>
      <w:r w:rsidRPr="00F06CFF">
        <w:rPr>
          <w:rFonts w:ascii="Times New Roman" w:eastAsia="Times New Roman" w:hAnsi="Times New Roman" w:cs="Times New Roman"/>
          <w:b/>
        </w:rPr>
        <w:t>Leverage:</w:t>
      </w:r>
      <w:r w:rsidRPr="00F06CFF">
        <w:rPr>
          <w:rFonts w:ascii="Times New Roman" w:eastAsia="Times New Roman" w:hAnsi="Times New Roman" w:cs="Times New Roman"/>
        </w:rPr>
        <w:t xml:space="preserve"> Calculated as the book value of long-term debt divided by the sum of book values of preferred stock, common equity, and long-term debt.</w:t>
      </w:r>
    </w:p>
    <w:p w:rsidR="00F06CFF" w:rsidRPr="00834FC4" w:rsidRDefault="00F06CFF" w:rsidP="00F06CFF">
      <w:pPr>
        <w:autoSpaceDE w:val="0"/>
        <w:autoSpaceDN w:val="0"/>
        <w:adjustRightInd w:val="0"/>
        <w:spacing w:after="180" w:line="360" w:lineRule="auto"/>
        <w:jc w:val="both"/>
        <w:rPr>
          <w:rFonts w:ascii="Times New Roman" w:eastAsia="Times New Roman" w:hAnsi="Times New Roman" w:cs="Times New Roman"/>
        </w:rPr>
      </w:pPr>
      <w:r w:rsidRPr="00834FC4">
        <w:rPr>
          <w:rFonts w:ascii="Times New Roman" w:eastAsia="Times New Roman" w:hAnsi="Times New Roman" w:cs="Times New Roman"/>
          <w:b/>
        </w:rPr>
        <w:t xml:space="preserve">Market-to-book ratio of assets: </w:t>
      </w:r>
      <w:r w:rsidRPr="00834FC4">
        <w:rPr>
          <w:rFonts w:ascii="Times New Roman" w:eastAsia="Times New Roman" w:hAnsi="Times New Roman" w:cs="Times New Roman"/>
        </w:rPr>
        <w:t>Market value of assets divided by book value of assets. The market value of assets equals the book value of assets minus the book value of common stock plus market value of equity.</w:t>
      </w:r>
    </w:p>
    <w:p w:rsidR="00F06CFF" w:rsidRPr="00834FC4" w:rsidRDefault="00F06CFF" w:rsidP="00F06CFF">
      <w:pPr>
        <w:spacing w:after="180" w:line="360" w:lineRule="auto"/>
        <w:jc w:val="both"/>
        <w:rPr>
          <w:rFonts w:ascii="Times New Roman" w:eastAsia="Times New Roman" w:hAnsi="Times New Roman" w:cs="Times New Roman"/>
          <w:bCs/>
        </w:rPr>
      </w:pPr>
      <w:r w:rsidRPr="00834FC4">
        <w:rPr>
          <w:rFonts w:ascii="Times New Roman" w:eastAsia="Times New Roman" w:hAnsi="Times New Roman" w:cs="Times New Roman"/>
          <w:b/>
        </w:rPr>
        <w:t>Portfolio delta:</w:t>
      </w:r>
      <w:r w:rsidRPr="00834FC4">
        <w:rPr>
          <w:rFonts w:ascii="Times New Roman" w:eastAsia="Times New Roman" w:hAnsi="Times New Roman" w:cs="Times New Roman"/>
        </w:rPr>
        <w:t xml:space="preserve"> Portfolio delta is the amount of </w:t>
      </w:r>
      <w:r w:rsidR="00654E9E" w:rsidRPr="00834FC4">
        <w:rPr>
          <w:rFonts w:ascii="Times New Roman" w:eastAsia="Times New Roman" w:hAnsi="Times New Roman" w:cs="Times New Roman"/>
        </w:rPr>
        <w:t>oil</w:t>
      </w:r>
      <w:r w:rsidR="006A59B2">
        <w:rPr>
          <w:rFonts w:ascii="Times New Roman" w:eastAsia="Times New Roman" w:hAnsi="Times New Roman" w:cs="Times New Roman"/>
        </w:rPr>
        <w:t xml:space="preserve"> and </w:t>
      </w:r>
      <w:r w:rsidR="00654E9E" w:rsidRPr="00834FC4">
        <w:rPr>
          <w:rFonts w:ascii="Times New Roman" w:eastAsia="Times New Roman" w:hAnsi="Times New Roman" w:cs="Times New Roman"/>
        </w:rPr>
        <w:t xml:space="preserve">gas </w:t>
      </w:r>
      <w:r w:rsidRPr="00834FC4">
        <w:rPr>
          <w:rFonts w:ascii="Times New Roman" w:eastAsia="Times New Roman" w:hAnsi="Times New Roman" w:cs="Times New Roman"/>
        </w:rPr>
        <w:t xml:space="preserve">that the firm has effectively sold short, computed as the sum of the firm’s individual derivatives positions (in </w:t>
      </w:r>
      <w:r w:rsidR="00654E9E" w:rsidRPr="00834FC4">
        <w:rPr>
          <w:rFonts w:ascii="Times New Roman" w:eastAsia="Times New Roman" w:hAnsi="Times New Roman" w:cs="Times New Roman"/>
        </w:rPr>
        <w:t>barrels of oil equivalent</w:t>
      </w:r>
      <w:r w:rsidRPr="00834FC4">
        <w:rPr>
          <w:rFonts w:ascii="Times New Roman" w:eastAsia="Times New Roman" w:hAnsi="Times New Roman" w:cs="Times New Roman"/>
        </w:rPr>
        <w:t xml:space="preserve">) weighted by their respective deltas. </w:t>
      </w:r>
    </w:p>
    <w:p w:rsidR="00F06CFF" w:rsidRPr="00834FC4" w:rsidRDefault="00F06CFF" w:rsidP="00F06CFF">
      <w:pPr>
        <w:autoSpaceDE w:val="0"/>
        <w:autoSpaceDN w:val="0"/>
        <w:adjustRightInd w:val="0"/>
        <w:spacing w:after="180" w:line="360" w:lineRule="auto"/>
        <w:jc w:val="both"/>
        <w:rPr>
          <w:rFonts w:ascii="Times New Roman" w:eastAsia="Times New Roman" w:hAnsi="Times New Roman" w:cs="Times New Roman"/>
        </w:rPr>
      </w:pPr>
      <w:r w:rsidRPr="00834FC4">
        <w:rPr>
          <w:rFonts w:ascii="Times New Roman" w:eastAsia="Times New Roman" w:hAnsi="Times New Roman" w:cs="Times New Roman"/>
          <w:b/>
          <w:bCs/>
        </w:rPr>
        <w:t xml:space="preserve">Production: </w:t>
      </w:r>
      <w:r w:rsidRPr="00834FC4">
        <w:rPr>
          <w:rFonts w:ascii="Times New Roman" w:eastAsia="Times New Roman" w:hAnsi="Times New Roman" w:cs="Times New Roman"/>
          <w:bCs/>
        </w:rPr>
        <w:t xml:space="preserve">Amount of </w:t>
      </w:r>
      <w:r w:rsidR="00654E9E" w:rsidRPr="00834FC4">
        <w:rPr>
          <w:rFonts w:ascii="Times New Roman" w:eastAsia="Times New Roman" w:hAnsi="Times New Roman" w:cs="Times New Roman"/>
          <w:bCs/>
        </w:rPr>
        <w:t>oil</w:t>
      </w:r>
      <w:r w:rsidR="006A59B2">
        <w:rPr>
          <w:rFonts w:ascii="Times New Roman" w:eastAsia="Times New Roman" w:hAnsi="Times New Roman" w:cs="Times New Roman"/>
          <w:bCs/>
        </w:rPr>
        <w:t xml:space="preserve"> and </w:t>
      </w:r>
      <w:r w:rsidR="00654E9E" w:rsidRPr="00834FC4">
        <w:rPr>
          <w:rFonts w:ascii="Times New Roman" w:eastAsia="Times New Roman" w:hAnsi="Times New Roman" w:cs="Times New Roman"/>
          <w:bCs/>
        </w:rPr>
        <w:t xml:space="preserve">gas </w:t>
      </w:r>
      <w:r w:rsidRPr="00834FC4">
        <w:rPr>
          <w:rFonts w:ascii="Times New Roman" w:eastAsia="Times New Roman" w:hAnsi="Times New Roman" w:cs="Times New Roman"/>
          <w:bCs/>
        </w:rPr>
        <w:t xml:space="preserve">produced by the firm during </w:t>
      </w:r>
      <w:r w:rsidR="00654E9E" w:rsidRPr="00834FC4">
        <w:rPr>
          <w:rFonts w:ascii="Times New Roman" w:eastAsia="Times New Roman" w:hAnsi="Times New Roman" w:cs="Times New Roman"/>
          <w:bCs/>
        </w:rPr>
        <w:t>the year (in barrels of oil equivalent</w:t>
      </w:r>
      <w:r w:rsidRPr="00834FC4">
        <w:rPr>
          <w:rFonts w:ascii="Times New Roman" w:eastAsia="Times New Roman" w:hAnsi="Times New Roman" w:cs="Times New Roman"/>
          <w:bCs/>
        </w:rPr>
        <w:t>).</w:t>
      </w:r>
    </w:p>
    <w:p w:rsidR="00F06CFF" w:rsidRPr="00834FC4" w:rsidRDefault="00431EF3" w:rsidP="00F06CFF">
      <w:pPr>
        <w:autoSpaceDE w:val="0"/>
        <w:autoSpaceDN w:val="0"/>
        <w:adjustRightInd w:val="0"/>
        <w:spacing w:after="180" w:line="360" w:lineRule="auto"/>
        <w:jc w:val="both"/>
        <w:rPr>
          <w:rFonts w:ascii="Times New Roman" w:eastAsia="Times New Roman" w:hAnsi="Times New Roman" w:cs="Times New Roman"/>
        </w:rPr>
      </w:pPr>
      <w:r w:rsidRPr="00834FC4">
        <w:rPr>
          <w:rFonts w:ascii="Times New Roman" w:eastAsia="Times New Roman" w:hAnsi="Times New Roman" w:cs="Times New Roman"/>
          <w:b/>
        </w:rPr>
        <w:t>Cash</w:t>
      </w:r>
      <w:r w:rsidR="00F06CFF" w:rsidRPr="00834FC4">
        <w:rPr>
          <w:rFonts w:ascii="Times New Roman" w:eastAsia="Times New Roman" w:hAnsi="Times New Roman" w:cs="Times New Roman"/>
        </w:rPr>
        <w:t xml:space="preserve">: Measure of corporate liquidity defined by the ratio: (cash + cash equivalents) / </w:t>
      </w:r>
      <w:r w:rsidRPr="00834FC4">
        <w:rPr>
          <w:rFonts w:ascii="Times New Roman" w:eastAsia="Times New Roman" w:hAnsi="Times New Roman" w:cs="Times New Roman"/>
        </w:rPr>
        <w:t>total assets</w:t>
      </w:r>
      <w:r w:rsidR="00F06CFF" w:rsidRPr="00834FC4">
        <w:rPr>
          <w:rFonts w:ascii="Times New Roman" w:eastAsia="Times New Roman" w:hAnsi="Times New Roman" w:cs="Times New Roman"/>
        </w:rPr>
        <w:t xml:space="preserve">. </w:t>
      </w:r>
    </w:p>
    <w:p w:rsidR="00F06CFF" w:rsidRPr="00834FC4" w:rsidRDefault="00F06CFF" w:rsidP="00654E9E">
      <w:pPr>
        <w:autoSpaceDE w:val="0"/>
        <w:autoSpaceDN w:val="0"/>
        <w:adjustRightInd w:val="0"/>
        <w:spacing w:after="180" w:line="360" w:lineRule="auto"/>
        <w:jc w:val="both"/>
        <w:rPr>
          <w:rFonts w:ascii="Times New Roman" w:eastAsia="Times New Roman" w:hAnsi="Times New Roman" w:cs="Times New Roman"/>
        </w:rPr>
      </w:pPr>
      <w:proofErr w:type="gramStart"/>
      <w:r w:rsidRPr="00834FC4">
        <w:rPr>
          <w:rFonts w:ascii="Times New Roman" w:eastAsia="Times New Roman" w:hAnsi="Times New Roman" w:cs="Times New Roman"/>
          <w:b/>
        </w:rPr>
        <w:t>Reserves:</w:t>
      </w:r>
      <w:r w:rsidRPr="00834FC4">
        <w:rPr>
          <w:rFonts w:ascii="Times New Roman" w:eastAsia="Times New Roman" w:hAnsi="Times New Roman" w:cs="Times New Roman"/>
        </w:rPr>
        <w:t xml:space="preserve"> Proven reserves of </w:t>
      </w:r>
      <w:r w:rsidR="00654E9E" w:rsidRPr="00834FC4">
        <w:rPr>
          <w:rFonts w:ascii="Times New Roman" w:eastAsia="Times New Roman" w:hAnsi="Times New Roman" w:cs="Times New Roman"/>
        </w:rPr>
        <w:t>oil</w:t>
      </w:r>
      <w:r w:rsidR="006A59B2">
        <w:rPr>
          <w:rFonts w:ascii="Times New Roman" w:eastAsia="Times New Roman" w:hAnsi="Times New Roman" w:cs="Times New Roman"/>
        </w:rPr>
        <w:t xml:space="preserve"> and </w:t>
      </w:r>
      <w:r w:rsidR="00654E9E" w:rsidRPr="00834FC4">
        <w:rPr>
          <w:rFonts w:ascii="Times New Roman" w:eastAsia="Times New Roman" w:hAnsi="Times New Roman" w:cs="Times New Roman"/>
        </w:rPr>
        <w:t>gas</w:t>
      </w:r>
      <w:r w:rsidRPr="00834FC4">
        <w:rPr>
          <w:rFonts w:ascii="Times New Roman" w:eastAsia="Times New Roman" w:hAnsi="Times New Roman" w:cs="Times New Roman"/>
        </w:rPr>
        <w:t xml:space="preserve"> (in </w:t>
      </w:r>
      <w:r w:rsidR="00654E9E" w:rsidRPr="00834FC4">
        <w:rPr>
          <w:rFonts w:ascii="Times New Roman" w:eastAsia="Times New Roman" w:hAnsi="Times New Roman" w:cs="Times New Roman"/>
        </w:rPr>
        <w:t>barrels of oil equivalent</w:t>
      </w:r>
      <w:r w:rsidRPr="00834FC4">
        <w:rPr>
          <w:rFonts w:ascii="Times New Roman" w:eastAsia="Times New Roman" w:hAnsi="Times New Roman" w:cs="Times New Roman"/>
        </w:rPr>
        <w:t>) owned by the firm at the end of the fiscal year.</w:t>
      </w:r>
      <w:proofErr w:type="gramEnd"/>
      <w:r w:rsidRPr="00834FC4">
        <w:rPr>
          <w:rFonts w:ascii="Times New Roman" w:eastAsia="Times New Roman" w:hAnsi="Times New Roman" w:cs="Times New Roman"/>
        </w:rPr>
        <w:t xml:space="preserve"> </w:t>
      </w:r>
    </w:p>
    <w:p w:rsidR="00654E9E" w:rsidRPr="00654E9E" w:rsidRDefault="00654E9E" w:rsidP="00654E9E">
      <w:pPr>
        <w:autoSpaceDE w:val="0"/>
        <w:autoSpaceDN w:val="0"/>
        <w:adjustRightInd w:val="0"/>
        <w:spacing w:after="180" w:line="360" w:lineRule="auto"/>
        <w:jc w:val="both"/>
        <w:rPr>
          <w:rFonts w:ascii="Times New Roman" w:eastAsia="Times New Roman" w:hAnsi="Times New Roman" w:cs="Times New Roman"/>
        </w:rPr>
        <w:sectPr w:rsidR="00654E9E" w:rsidRPr="00654E9E" w:rsidSect="00641482">
          <w:pgSz w:w="12240" w:h="15840"/>
          <w:pgMar w:top="1440" w:right="1440" w:bottom="1440" w:left="1440" w:header="720" w:footer="720" w:gutter="0"/>
          <w:cols w:space="720"/>
          <w:docGrid w:linePitch="360"/>
        </w:sectPr>
      </w:pPr>
    </w:p>
    <w:p w:rsidR="00F06CFF" w:rsidRPr="009E44F5" w:rsidRDefault="00F06CFF" w:rsidP="00F06CFF">
      <w:pPr>
        <w:keepNext/>
        <w:spacing w:after="180" w:line="240" w:lineRule="auto"/>
        <w:outlineLvl w:val="3"/>
        <w:rPr>
          <w:rFonts w:ascii="Times New Roman" w:eastAsia="Times New Roman" w:hAnsi="Times New Roman" w:cs="Times New Roman"/>
          <w:b/>
          <w:bCs/>
          <w:sz w:val="24"/>
          <w:szCs w:val="24"/>
        </w:rPr>
      </w:pPr>
      <w:r w:rsidRPr="009E44F5">
        <w:rPr>
          <w:rFonts w:ascii="Times New Roman" w:eastAsia="Times New Roman" w:hAnsi="Times New Roman" w:cs="Times New Roman"/>
          <w:b/>
          <w:bCs/>
          <w:sz w:val="24"/>
          <w:szCs w:val="24"/>
        </w:rPr>
        <w:lastRenderedPageBreak/>
        <w:t>References</w:t>
      </w:r>
    </w:p>
    <w:p w:rsidR="00ED172C" w:rsidRPr="009E44F5" w:rsidRDefault="00ED172C" w:rsidP="0052667E">
      <w:pPr>
        <w:spacing w:after="120" w:line="240" w:lineRule="auto"/>
        <w:jc w:val="both"/>
        <w:rPr>
          <w:rFonts w:ascii="Times New Roman" w:eastAsia="Times New Roman" w:hAnsi="Times New Roman" w:cs="Times New Roman"/>
          <w:sz w:val="17"/>
          <w:szCs w:val="17"/>
        </w:rPr>
      </w:pPr>
      <w:proofErr w:type="spellStart"/>
      <w:proofErr w:type="gramStart"/>
      <w:r w:rsidRPr="009E44F5">
        <w:rPr>
          <w:rFonts w:ascii="Times New Roman" w:hAnsi="Times New Roman" w:cs="Times New Roman"/>
        </w:rPr>
        <w:t>Aboody</w:t>
      </w:r>
      <w:proofErr w:type="spellEnd"/>
      <w:r w:rsidRPr="009E44F5">
        <w:rPr>
          <w:rFonts w:ascii="Times New Roman" w:hAnsi="Times New Roman" w:cs="Times New Roman"/>
        </w:rPr>
        <w:t xml:space="preserve">, D., M. Barth, and R. </w:t>
      </w:r>
      <w:proofErr w:type="spellStart"/>
      <w:r w:rsidRPr="009E44F5">
        <w:rPr>
          <w:rFonts w:ascii="Times New Roman" w:hAnsi="Times New Roman" w:cs="Times New Roman"/>
        </w:rPr>
        <w:t>Kasznik</w:t>
      </w:r>
      <w:proofErr w:type="spellEnd"/>
      <w:r w:rsidRPr="009E44F5">
        <w:rPr>
          <w:rFonts w:ascii="Times New Roman" w:hAnsi="Times New Roman" w:cs="Times New Roman"/>
        </w:rPr>
        <w:t>, 2004.</w:t>
      </w:r>
      <w:proofErr w:type="gramEnd"/>
      <w:r w:rsidRPr="009E44F5">
        <w:rPr>
          <w:rFonts w:ascii="Times New Roman" w:hAnsi="Times New Roman" w:cs="Times New Roman"/>
        </w:rPr>
        <w:t xml:space="preserve"> Firms Voluntary Recognition of Stock Based Compensation Expense, </w:t>
      </w:r>
      <w:r w:rsidRPr="009E44F5">
        <w:rPr>
          <w:rFonts w:ascii="Times New Roman" w:hAnsi="Times New Roman" w:cs="Times New Roman"/>
          <w:i/>
        </w:rPr>
        <w:t>Journal of Accounting Research</w:t>
      </w:r>
      <w:r w:rsidRPr="009E44F5">
        <w:rPr>
          <w:rFonts w:ascii="Times New Roman" w:hAnsi="Times New Roman" w:cs="Times New Roman"/>
        </w:rPr>
        <w:t xml:space="preserve">, 42(2), 123-150. </w:t>
      </w:r>
    </w:p>
    <w:p w:rsidR="00F06CFF" w:rsidRPr="009E44F5" w:rsidRDefault="00F06CFF" w:rsidP="00E41E52">
      <w:pPr>
        <w:autoSpaceDE w:val="0"/>
        <w:autoSpaceDN w:val="0"/>
        <w:spacing w:after="120" w:line="240" w:lineRule="auto"/>
        <w:jc w:val="both"/>
        <w:rPr>
          <w:rFonts w:ascii="Times New Roman" w:eastAsia="PMingLiU" w:hAnsi="Times New Roman" w:cs="Times New Roman"/>
        </w:rPr>
      </w:pPr>
      <w:proofErr w:type="gramStart"/>
      <w:r w:rsidRPr="009E44F5">
        <w:rPr>
          <w:rFonts w:ascii="Times New Roman" w:eastAsia="PMingLiU" w:hAnsi="Times New Roman" w:cs="Times New Roman"/>
        </w:rPr>
        <w:t>Altman, Edward I., 1968, Financial Ratios</w:t>
      </w:r>
      <w:r w:rsidR="00ED172C" w:rsidRPr="009E44F5">
        <w:rPr>
          <w:rFonts w:ascii="Times New Roman" w:eastAsia="PMingLiU" w:hAnsi="Times New Roman" w:cs="Times New Roman"/>
        </w:rPr>
        <w:t>.</w:t>
      </w:r>
      <w:proofErr w:type="gramEnd"/>
      <w:r w:rsidRPr="009E44F5">
        <w:rPr>
          <w:rFonts w:ascii="Times New Roman" w:eastAsia="PMingLiU" w:hAnsi="Times New Roman" w:cs="Times New Roman"/>
        </w:rPr>
        <w:t xml:space="preserve"> Discriminant Analysis and the Prediction of Corporate Bankruptcy, </w:t>
      </w:r>
      <w:r w:rsidRPr="009E44F5">
        <w:rPr>
          <w:rFonts w:ascii="Times New Roman" w:eastAsia="PMingLiU" w:hAnsi="Times New Roman" w:cs="Times New Roman"/>
          <w:i/>
        </w:rPr>
        <w:t>Journal of Finance</w:t>
      </w:r>
      <w:r w:rsidRPr="009E44F5">
        <w:rPr>
          <w:rFonts w:ascii="Times New Roman" w:eastAsia="PMingLiU" w:hAnsi="Times New Roman" w:cs="Times New Roman"/>
        </w:rPr>
        <w:t xml:space="preserve"> 23, 589-609.</w:t>
      </w:r>
    </w:p>
    <w:p w:rsidR="0052667E" w:rsidRPr="009E44F5" w:rsidRDefault="0052667E" w:rsidP="0052667E">
      <w:pPr>
        <w:pStyle w:val="HTMLPreformatted"/>
        <w:spacing w:after="120"/>
        <w:jc w:val="both"/>
        <w:rPr>
          <w:rFonts w:ascii="Times New Roman" w:hAnsi="Times New Roman" w:cs="Times New Roman"/>
          <w:sz w:val="22"/>
          <w:szCs w:val="22"/>
        </w:rPr>
      </w:pPr>
      <w:proofErr w:type="spellStart"/>
      <w:r w:rsidRPr="009E44F5">
        <w:rPr>
          <w:rFonts w:ascii="Times New Roman" w:hAnsi="Times New Roman" w:cs="Times New Roman"/>
          <w:sz w:val="22"/>
          <w:szCs w:val="22"/>
        </w:rPr>
        <w:t>Angrist</w:t>
      </w:r>
      <w:proofErr w:type="spellEnd"/>
      <w:r w:rsidRPr="009E44F5">
        <w:rPr>
          <w:rFonts w:ascii="Times New Roman" w:hAnsi="Times New Roman" w:cs="Times New Roman"/>
          <w:sz w:val="22"/>
          <w:szCs w:val="22"/>
        </w:rPr>
        <w:t xml:space="preserve"> J. D. and A. B. Krueger, 1999, Empirical strategies in labor economics, Handbook of labor economics, </w:t>
      </w:r>
      <w:r w:rsidR="00246D3C" w:rsidRPr="009E44F5">
        <w:rPr>
          <w:rFonts w:ascii="Times New Roman" w:hAnsi="Times New Roman" w:cs="Times New Roman"/>
          <w:sz w:val="22"/>
          <w:szCs w:val="22"/>
        </w:rPr>
        <w:t>Volume3</w:t>
      </w:r>
      <w:proofErr w:type="gramStart"/>
      <w:r w:rsidR="00246D3C" w:rsidRPr="009E44F5">
        <w:rPr>
          <w:rFonts w:ascii="Times New Roman" w:hAnsi="Times New Roman" w:cs="Times New Roman"/>
          <w:sz w:val="22"/>
          <w:szCs w:val="22"/>
        </w:rPr>
        <w:t>,1277</w:t>
      </w:r>
      <w:proofErr w:type="gramEnd"/>
      <w:r w:rsidR="00246D3C" w:rsidRPr="009E44F5">
        <w:rPr>
          <w:rFonts w:ascii="Times New Roman" w:hAnsi="Times New Roman" w:cs="Times New Roman"/>
          <w:sz w:val="22"/>
          <w:szCs w:val="22"/>
        </w:rPr>
        <w:t>-</w:t>
      </w:r>
      <w:r w:rsidRPr="009E44F5">
        <w:rPr>
          <w:rFonts w:ascii="Times New Roman" w:hAnsi="Times New Roman" w:cs="Times New Roman"/>
          <w:sz w:val="22"/>
          <w:szCs w:val="22"/>
        </w:rPr>
        <w:t>1366</w:t>
      </w:r>
    </w:p>
    <w:p w:rsidR="00E41E52" w:rsidRDefault="00E41E52" w:rsidP="00E41E52">
      <w:pPr>
        <w:autoSpaceDE w:val="0"/>
        <w:autoSpaceDN w:val="0"/>
        <w:adjustRightInd w:val="0"/>
        <w:spacing w:after="120" w:line="240" w:lineRule="auto"/>
        <w:rPr>
          <w:rFonts w:ascii="Times New Roman" w:hAnsi="Times New Roman" w:cs="Times New Roman"/>
        </w:rPr>
      </w:pPr>
      <w:proofErr w:type="spellStart"/>
      <w:proofErr w:type="gramStart"/>
      <w:r w:rsidRPr="009E44F5">
        <w:rPr>
          <w:rFonts w:ascii="Times New Roman" w:hAnsi="Times New Roman" w:cs="Times New Roman"/>
        </w:rPr>
        <w:t>Bergstresser</w:t>
      </w:r>
      <w:proofErr w:type="spellEnd"/>
      <w:r w:rsidRPr="009E44F5">
        <w:rPr>
          <w:rFonts w:ascii="Times New Roman" w:hAnsi="Times New Roman" w:cs="Times New Roman"/>
        </w:rPr>
        <w:t xml:space="preserve">, D. and T. </w:t>
      </w:r>
      <w:proofErr w:type="spellStart"/>
      <w:r w:rsidRPr="009E44F5">
        <w:rPr>
          <w:rFonts w:ascii="Times New Roman" w:hAnsi="Times New Roman" w:cs="Times New Roman"/>
        </w:rPr>
        <w:t>Philippon</w:t>
      </w:r>
      <w:proofErr w:type="spellEnd"/>
      <w:r w:rsidRPr="009E44F5">
        <w:rPr>
          <w:rFonts w:ascii="Times New Roman" w:hAnsi="Times New Roman" w:cs="Times New Roman"/>
        </w:rPr>
        <w:t>, 2006.</w:t>
      </w:r>
      <w:proofErr w:type="gramEnd"/>
      <w:r w:rsidRPr="009E44F5">
        <w:rPr>
          <w:rFonts w:ascii="Times New Roman" w:hAnsi="Times New Roman" w:cs="Times New Roman"/>
        </w:rPr>
        <w:t xml:space="preserve"> </w:t>
      </w:r>
      <w:proofErr w:type="gramStart"/>
      <w:r w:rsidRPr="009E44F5">
        <w:rPr>
          <w:rFonts w:ascii="Times New Roman" w:hAnsi="Times New Roman" w:cs="Times New Roman"/>
        </w:rPr>
        <w:t xml:space="preserve">CEO incentives and earnings management, </w:t>
      </w:r>
      <w:r w:rsidRPr="009E44F5">
        <w:rPr>
          <w:rFonts w:ascii="Times New Roman" w:hAnsi="Times New Roman" w:cs="Times New Roman"/>
          <w:i/>
        </w:rPr>
        <w:t xml:space="preserve">Journal of Financial Economics </w:t>
      </w:r>
      <w:r w:rsidRPr="009E44F5">
        <w:rPr>
          <w:rFonts w:ascii="Times New Roman" w:hAnsi="Times New Roman" w:cs="Times New Roman"/>
        </w:rPr>
        <w:t>80, 511–529.</w:t>
      </w:r>
      <w:proofErr w:type="gramEnd"/>
    </w:p>
    <w:p w:rsidR="006E2A04" w:rsidRPr="009E44F5" w:rsidRDefault="006E2A04" w:rsidP="006E2A04">
      <w:pPr>
        <w:spacing w:after="120" w:line="240" w:lineRule="auto"/>
        <w:jc w:val="both"/>
        <w:rPr>
          <w:rFonts w:ascii="Times New Roman" w:hAnsi="Times New Roman" w:cs="Times New Roman"/>
        </w:rPr>
      </w:pPr>
      <w:r>
        <w:rPr>
          <w:rFonts w:ascii="Times New Roman" w:hAnsi="Times New Roman" w:cs="Times New Roman"/>
        </w:rPr>
        <w:t xml:space="preserve">Bettis, C., J. </w:t>
      </w:r>
      <w:proofErr w:type="spellStart"/>
      <w:r>
        <w:rPr>
          <w:rFonts w:ascii="Times New Roman" w:hAnsi="Times New Roman" w:cs="Times New Roman"/>
        </w:rPr>
        <w:t>Bizjak</w:t>
      </w:r>
      <w:proofErr w:type="spellEnd"/>
      <w:r>
        <w:rPr>
          <w:rFonts w:ascii="Times New Roman" w:hAnsi="Times New Roman" w:cs="Times New Roman"/>
        </w:rPr>
        <w:t>, J.L. Coles</w:t>
      </w:r>
      <w:r w:rsidRPr="009E44F5">
        <w:rPr>
          <w:rFonts w:ascii="Times New Roman" w:hAnsi="Times New Roman" w:cs="Times New Roman"/>
        </w:rPr>
        <w:t xml:space="preserve"> and </w:t>
      </w:r>
      <w:r>
        <w:rPr>
          <w:rFonts w:ascii="Times New Roman" w:hAnsi="Times New Roman" w:cs="Times New Roman"/>
        </w:rPr>
        <w:t xml:space="preserve">S. </w:t>
      </w:r>
      <w:proofErr w:type="spellStart"/>
      <w:r>
        <w:rPr>
          <w:rFonts w:ascii="Times New Roman" w:hAnsi="Times New Roman" w:cs="Times New Roman"/>
        </w:rPr>
        <w:t>Kalpathy</w:t>
      </w:r>
      <w:proofErr w:type="spellEnd"/>
      <w:r>
        <w:rPr>
          <w:rFonts w:ascii="Times New Roman" w:hAnsi="Times New Roman" w:cs="Times New Roman"/>
        </w:rPr>
        <w:t xml:space="preserve">, </w:t>
      </w:r>
      <w:r w:rsidRPr="009E44F5">
        <w:rPr>
          <w:rFonts w:ascii="Times New Roman" w:hAnsi="Times New Roman" w:cs="Times New Roman"/>
        </w:rPr>
        <w:t>20</w:t>
      </w:r>
      <w:r>
        <w:rPr>
          <w:rFonts w:ascii="Times New Roman" w:hAnsi="Times New Roman" w:cs="Times New Roman"/>
        </w:rPr>
        <w:t>1</w:t>
      </w:r>
      <w:r w:rsidRPr="009E44F5">
        <w:rPr>
          <w:rFonts w:ascii="Times New Roman" w:hAnsi="Times New Roman" w:cs="Times New Roman"/>
        </w:rPr>
        <w:t xml:space="preserve">0, </w:t>
      </w:r>
      <w:r>
        <w:rPr>
          <w:rFonts w:ascii="Times New Roman" w:hAnsi="Times New Roman" w:cs="Times New Roman"/>
        </w:rPr>
        <w:t>Stock and Option Grants with Performance-based Vesting Provisions</w:t>
      </w:r>
      <w:r w:rsidRPr="009E44F5">
        <w:rPr>
          <w:rFonts w:ascii="Times New Roman" w:hAnsi="Times New Roman" w:cs="Times New Roman"/>
        </w:rPr>
        <w:t xml:space="preserve">, </w:t>
      </w:r>
      <w:r>
        <w:rPr>
          <w:rFonts w:ascii="Times New Roman" w:hAnsi="Times New Roman" w:cs="Times New Roman"/>
          <w:i/>
        </w:rPr>
        <w:t>Review of Financial Studies</w:t>
      </w:r>
      <w:r>
        <w:rPr>
          <w:rFonts w:ascii="Times New Roman" w:hAnsi="Times New Roman" w:cs="Times New Roman"/>
        </w:rPr>
        <w:t xml:space="preserve"> 23, 3849-3888.</w:t>
      </w:r>
    </w:p>
    <w:p w:rsidR="00416DB4" w:rsidRPr="009E44F5" w:rsidRDefault="00416DB4" w:rsidP="00E41E52">
      <w:pPr>
        <w:autoSpaceDE w:val="0"/>
        <w:autoSpaceDN w:val="0"/>
        <w:adjustRightInd w:val="0"/>
        <w:spacing w:after="120" w:line="240" w:lineRule="auto"/>
        <w:rPr>
          <w:rFonts w:ascii="Times New Roman" w:eastAsia="PMingLiU" w:hAnsi="Times New Roman" w:cs="Times New Roman"/>
        </w:rPr>
      </w:pPr>
      <w:proofErr w:type="spellStart"/>
      <w:r w:rsidRPr="009E44F5">
        <w:rPr>
          <w:rFonts w:ascii="Times New Roman" w:hAnsi="Times New Roman" w:cs="Times New Roman"/>
        </w:rPr>
        <w:t>Braido</w:t>
      </w:r>
      <w:proofErr w:type="spellEnd"/>
      <w:r w:rsidRPr="009E44F5">
        <w:rPr>
          <w:rFonts w:ascii="Times New Roman" w:hAnsi="Times New Roman" w:cs="Times New Roman"/>
        </w:rPr>
        <w:t>, L., Ferreira, D., 2006. Options can induce risk taking for arbitrary</w:t>
      </w:r>
      <w:r w:rsidR="00E41E52" w:rsidRPr="009E44F5">
        <w:rPr>
          <w:rFonts w:ascii="Times New Roman" w:hAnsi="Times New Roman" w:cs="Times New Roman"/>
        </w:rPr>
        <w:t xml:space="preserve"> preferences,</w:t>
      </w:r>
      <w:r w:rsidRPr="009E44F5">
        <w:rPr>
          <w:rFonts w:ascii="Times New Roman" w:hAnsi="Times New Roman" w:cs="Times New Roman"/>
        </w:rPr>
        <w:t xml:space="preserve"> </w:t>
      </w:r>
      <w:r w:rsidRPr="009E44F5">
        <w:rPr>
          <w:rFonts w:ascii="Times New Roman" w:hAnsi="Times New Roman" w:cs="Times New Roman"/>
          <w:i/>
        </w:rPr>
        <w:t>Economic Theory</w:t>
      </w:r>
      <w:r w:rsidRPr="009E44F5">
        <w:rPr>
          <w:rFonts w:ascii="Times New Roman" w:hAnsi="Times New Roman" w:cs="Times New Roman"/>
        </w:rPr>
        <w:t xml:space="preserve"> 27, 513–522.</w:t>
      </w:r>
    </w:p>
    <w:p w:rsidR="00E21260" w:rsidRPr="009E44F5" w:rsidRDefault="00E21260" w:rsidP="00E41E52">
      <w:pPr>
        <w:autoSpaceDE w:val="0"/>
        <w:autoSpaceDN w:val="0"/>
        <w:adjustRightInd w:val="0"/>
        <w:spacing w:after="120" w:line="240" w:lineRule="auto"/>
        <w:rPr>
          <w:rFonts w:ascii="Times New Roman" w:hAnsi="Times New Roman" w:cs="Times New Roman"/>
        </w:rPr>
      </w:pPr>
      <w:proofErr w:type="gramStart"/>
      <w:r w:rsidRPr="009E44F5">
        <w:rPr>
          <w:rFonts w:ascii="Times New Roman" w:hAnsi="Times New Roman" w:cs="Times New Roman"/>
        </w:rPr>
        <w:t>Brockman, P., M</w:t>
      </w:r>
      <w:r w:rsidR="00E41E52" w:rsidRPr="009E44F5">
        <w:rPr>
          <w:rFonts w:ascii="Times New Roman" w:hAnsi="Times New Roman" w:cs="Times New Roman"/>
        </w:rPr>
        <w:t xml:space="preserve">artin, X., </w:t>
      </w:r>
      <w:proofErr w:type="spellStart"/>
      <w:r w:rsidR="00E41E52" w:rsidRPr="009E44F5">
        <w:rPr>
          <w:rFonts w:ascii="Times New Roman" w:hAnsi="Times New Roman" w:cs="Times New Roman"/>
        </w:rPr>
        <w:t>Unlu</w:t>
      </w:r>
      <w:proofErr w:type="spellEnd"/>
      <w:r w:rsidR="00E41E52" w:rsidRPr="009E44F5">
        <w:rPr>
          <w:rFonts w:ascii="Times New Roman" w:hAnsi="Times New Roman" w:cs="Times New Roman"/>
        </w:rPr>
        <w:t>, E., 2010</w:t>
      </w:r>
      <w:r w:rsidRPr="009E44F5">
        <w:rPr>
          <w:rFonts w:ascii="Times New Roman" w:hAnsi="Times New Roman" w:cs="Times New Roman"/>
        </w:rPr>
        <w:t>.</w:t>
      </w:r>
      <w:proofErr w:type="gramEnd"/>
      <w:r w:rsidRPr="009E44F5">
        <w:rPr>
          <w:rFonts w:ascii="Times New Roman" w:hAnsi="Times New Roman" w:cs="Times New Roman"/>
        </w:rPr>
        <w:t xml:space="preserve"> Executive compensation and the</w:t>
      </w:r>
      <w:r w:rsidR="00E41E52" w:rsidRPr="009E44F5">
        <w:rPr>
          <w:rFonts w:ascii="Times New Roman" w:hAnsi="Times New Roman" w:cs="Times New Roman"/>
        </w:rPr>
        <w:t xml:space="preserve"> </w:t>
      </w:r>
      <w:r w:rsidRPr="009E44F5">
        <w:rPr>
          <w:rFonts w:ascii="Times New Roman" w:hAnsi="Times New Roman" w:cs="Times New Roman"/>
        </w:rPr>
        <w:t>matur</w:t>
      </w:r>
      <w:r w:rsidR="00E41E52" w:rsidRPr="009E44F5">
        <w:rPr>
          <w:rFonts w:ascii="Times New Roman" w:hAnsi="Times New Roman" w:cs="Times New Roman"/>
        </w:rPr>
        <w:t>ity structure of corporate debt,</w:t>
      </w:r>
      <w:r w:rsidRPr="009E44F5">
        <w:rPr>
          <w:rFonts w:ascii="Times New Roman" w:hAnsi="Times New Roman" w:cs="Times New Roman"/>
        </w:rPr>
        <w:t xml:space="preserve"> </w:t>
      </w:r>
      <w:r w:rsidRPr="009E44F5">
        <w:rPr>
          <w:rFonts w:ascii="Times New Roman" w:hAnsi="Times New Roman" w:cs="Times New Roman"/>
          <w:i/>
        </w:rPr>
        <w:t>Journal of Finance</w:t>
      </w:r>
      <w:r w:rsidR="00723864" w:rsidRPr="009E44F5">
        <w:rPr>
          <w:rFonts w:ascii="Times New Roman" w:hAnsi="Times New Roman" w:cs="Times New Roman"/>
        </w:rPr>
        <w:t xml:space="preserve"> 65 (3), 1123--1161</w:t>
      </w:r>
      <w:r w:rsidRPr="009E44F5">
        <w:rPr>
          <w:rFonts w:ascii="Times New Roman" w:hAnsi="Times New Roman" w:cs="Times New Roman"/>
        </w:rPr>
        <w:t>.</w:t>
      </w:r>
    </w:p>
    <w:p w:rsidR="00670B0D" w:rsidRPr="009E44F5" w:rsidRDefault="00670B0D" w:rsidP="00E41E52">
      <w:pPr>
        <w:spacing w:after="120" w:line="240" w:lineRule="auto"/>
        <w:jc w:val="both"/>
        <w:rPr>
          <w:rFonts w:ascii="Times New Roman" w:eastAsia="Times New Roman" w:hAnsi="Times New Roman" w:cs="Times New Roman"/>
        </w:rPr>
      </w:pPr>
      <w:r w:rsidRPr="009E44F5">
        <w:rPr>
          <w:rFonts w:ascii="Times New Roman" w:hAnsi="Times New Roman" w:cs="Times New Roman"/>
        </w:rPr>
        <w:t xml:space="preserve">Brown, L.D. and Lee, Y.J., 2011, Changes in Option-Based Compensation </w:t>
      </w:r>
      <w:proofErr w:type="gramStart"/>
      <w:r w:rsidRPr="009E44F5">
        <w:rPr>
          <w:rFonts w:ascii="Times New Roman" w:hAnsi="Times New Roman" w:cs="Times New Roman"/>
        </w:rPr>
        <w:t>Around</w:t>
      </w:r>
      <w:proofErr w:type="gramEnd"/>
      <w:r w:rsidRPr="009E44F5">
        <w:rPr>
          <w:rFonts w:ascii="Times New Roman" w:hAnsi="Times New Roman" w:cs="Times New Roman"/>
        </w:rPr>
        <w:t xml:space="preserve"> the Issuance of </w:t>
      </w:r>
      <w:r w:rsidR="00D445F5" w:rsidRPr="009E44F5">
        <w:rPr>
          <w:rFonts w:ascii="Times New Roman" w:hAnsi="Times New Roman" w:cs="Times New Roman"/>
        </w:rPr>
        <w:t>FAS 123R</w:t>
      </w:r>
      <w:r w:rsidRPr="009E44F5">
        <w:rPr>
          <w:rFonts w:ascii="Times New Roman" w:hAnsi="Times New Roman" w:cs="Times New Roman"/>
        </w:rPr>
        <w:t xml:space="preserve">, </w:t>
      </w:r>
      <w:r w:rsidRPr="009E44F5">
        <w:rPr>
          <w:rFonts w:ascii="Times New Roman" w:hAnsi="Times New Roman" w:cs="Times New Roman"/>
          <w:i/>
        </w:rPr>
        <w:t>Journal of Business Finance &amp; Accounting</w:t>
      </w:r>
      <w:r w:rsidRPr="009E44F5">
        <w:rPr>
          <w:rFonts w:ascii="Times New Roman" w:hAnsi="Times New Roman" w:cs="Times New Roman"/>
        </w:rPr>
        <w:t xml:space="preserve"> 38 (9-10), 1053—1095.</w:t>
      </w:r>
    </w:p>
    <w:p w:rsidR="00F06CFF" w:rsidRPr="009E44F5" w:rsidRDefault="00F06CFF" w:rsidP="00E41E52">
      <w:pPr>
        <w:spacing w:after="120" w:line="240" w:lineRule="auto"/>
        <w:jc w:val="both"/>
        <w:rPr>
          <w:rFonts w:ascii="Times New Roman" w:eastAsia="Times New Roman" w:hAnsi="Times New Roman" w:cs="Times New Roman"/>
        </w:rPr>
      </w:pPr>
      <w:r w:rsidRPr="009E44F5">
        <w:rPr>
          <w:rFonts w:ascii="Times New Roman" w:eastAsia="Times New Roman" w:hAnsi="Times New Roman" w:cs="Times New Roman"/>
        </w:rPr>
        <w:t xml:space="preserve">Burns, Natasha, and Simi </w:t>
      </w:r>
      <w:proofErr w:type="spellStart"/>
      <w:r w:rsidRPr="009E44F5">
        <w:rPr>
          <w:rFonts w:ascii="Times New Roman" w:eastAsia="Times New Roman" w:hAnsi="Times New Roman" w:cs="Times New Roman"/>
        </w:rPr>
        <w:t>Kedia</w:t>
      </w:r>
      <w:proofErr w:type="spellEnd"/>
      <w:r w:rsidRPr="009E44F5">
        <w:rPr>
          <w:rFonts w:ascii="Times New Roman" w:eastAsia="Times New Roman" w:hAnsi="Times New Roman" w:cs="Times New Roman"/>
        </w:rPr>
        <w:t xml:space="preserve">, 2006, </w:t>
      </w:r>
      <w:proofErr w:type="gramStart"/>
      <w:r w:rsidRPr="009E44F5">
        <w:rPr>
          <w:rFonts w:ascii="Times New Roman" w:eastAsia="Times New Roman" w:hAnsi="Times New Roman" w:cs="Times New Roman"/>
        </w:rPr>
        <w:t>The</w:t>
      </w:r>
      <w:proofErr w:type="gramEnd"/>
      <w:r w:rsidRPr="009E44F5">
        <w:rPr>
          <w:rFonts w:ascii="Times New Roman" w:eastAsia="Times New Roman" w:hAnsi="Times New Roman" w:cs="Times New Roman"/>
        </w:rPr>
        <w:t xml:space="preserve"> Impact of Performance-Based Compensation on Misreporting, </w:t>
      </w:r>
      <w:r w:rsidRPr="009E44F5">
        <w:rPr>
          <w:rFonts w:ascii="Times New Roman" w:eastAsia="Times New Roman" w:hAnsi="Times New Roman" w:cs="Times New Roman"/>
          <w:i/>
        </w:rPr>
        <w:t>Journal of Financial Economics</w:t>
      </w:r>
      <w:r w:rsidRPr="009E44F5">
        <w:rPr>
          <w:rFonts w:ascii="Times New Roman" w:eastAsia="Times New Roman" w:hAnsi="Times New Roman" w:cs="Times New Roman"/>
        </w:rPr>
        <w:t xml:space="preserve"> 79, 35-67.</w:t>
      </w:r>
    </w:p>
    <w:p w:rsidR="00E41E52" w:rsidRPr="009E44F5" w:rsidRDefault="00E41E52" w:rsidP="00723864">
      <w:pPr>
        <w:autoSpaceDE w:val="0"/>
        <w:autoSpaceDN w:val="0"/>
        <w:adjustRightInd w:val="0"/>
        <w:spacing w:after="120" w:line="240" w:lineRule="auto"/>
        <w:rPr>
          <w:rFonts w:ascii="Times New Roman" w:eastAsia="Times New Roman" w:hAnsi="Times New Roman" w:cs="Times New Roman"/>
        </w:rPr>
      </w:pPr>
      <w:proofErr w:type="gramStart"/>
      <w:r w:rsidRPr="009E44F5">
        <w:rPr>
          <w:rFonts w:ascii="Times New Roman" w:hAnsi="Times New Roman" w:cs="Times New Roman"/>
        </w:rPr>
        <w:t xml:space="preserve">Burns, N., </w:t>
      </w:r>
      <w:r w:rsidR="00723864" w:rsidRPr="009E44F5">
        <w:rPr>
          <w:rFonts w:ascii="Times New Roman" w:hAnsi="Times New Roman" w:cs="Times New Roman"/>
        </w:rPr>
        <w:t xml:space="preserve">and S. </w:t>
      </w:r>
      <w:proofErr w:type="spellStart"/>
      <w:r w:rsidR="00723864" w:rsidRPr="009E44F5">
        <w:rPr>
          <w:rFonts w:ascii="Times New Roman" w:hAnsi="Times New Roman" w:cs="Times New Roman"/>
        </w:rPr>
        <w:t>Kedia</w:t>
      </w:r>
      <w:proofErr w:type="spellEnd"/>
      <w:r w:rsidR="00723864" w:rsidRPr="009E44F5">
        <w:rPr>
          <w:rFonts w:ascii="Times New Roman" w:hAnsi="Times New Roman" w:cs="Times New Roman"/>
        </w:rPr>
        <w:t>,</w:t>
      </w:r>
      <w:r w:rsidRPr="009E44F5">
        <w:rPr>
          <w:rFonts w:ascii="Times New Roman" w:hAnsi="Times New Roman" w:cs="Times New Roman"/>
        </w:rPr>
        <w:t xml:space="preserve"> 2008.</w:t>
      </w:r>
      <w:proofErr w:type="gramEnd"/>
      <w:r w:rsidRPr="009E44F5">
        <w:rPr>
          <w:rFonts w:ascii="Times New Roman" w:hAnsi="Times New Roman" w:cs="Times New Roman"/>
        </w:rPr>
        <w:t xml:space="preserve"> </w:t>
      </w:r>
      <w:proofErr w:type="gramStart"/>
      <w:r w:rsidRPr="009E44F5">
        <w:rPr>
          <w:rFonts w:ascii="Times New Roman" w:hAnsi="Times New Roman" w:cs="Times New Roman"/>
        </w:rPr>
        <w:t>Executive option exerc</w:t>
      </w:r>
      <w:r w:rsidR="00723864" w:rsidRPr="009E44F5">
        <w:rPr>
          <w:rFonts w:ascii="Times New Roman" w:hAnsi="Times New Roman" w:cs="Times New Roman"/>
        </w:rPr>
        <w:t xml:space="preserve">ises and financial misreporting </w:t>
      </w:r>
      <w:r w:rsidRPr="009E44F5">
        <w:rPr>
          <w:rFonts w:ascii="Times New Roman" w:hAnsi="Times New Roman" w:cs="Times New Roman"/>
          <w:i/>
        </w:rPr>
        <w:t>Journal of Banking and Finance</w:t>
      </w:r>
      <w:r w:rsidRPr="009E44F5">
        <w:rPr>
          <w:rFonts w:ascii="Times New Roman" w:hAnsi="Times New Roman" w:cs="Times New Roman"/>
        </w:rPr>
        <w:t xml:space="preserve"> 32, 845–857.</w:t>
      </w:r>
      <w:proofErr w:type="gramEnd"/>
    </w:p>
    <w:p w:rsidR="00416DB4" w:rsidRPr="009E44F5" w:rsidRDefault="00416DB4" w:rsidP="00723864">
      <w:pPr>
        <w:autoSpaceDE w:val="0"/>
        <w:autoSpaceDN w:val="0"/>
        <w:adjustRightInd w:val="0"/>
        <w:spacing w:after="120" w:line="240" w:lineRule="auto"/>
        <w:rPr>
          <w:rFonts w:ascii="Times New Roman" w:eastAsia="Times New Roman" w:hAnsi="Times New Roman" w:cs="Times New Roman"/>
        </w:rPr>
      </w:pPr>
      <w:proofErr w:type="gramStart"/>
      <w:r w:rsidRPr="009E44F5">
        <w:rPr>
          <w:rFonts w:ascii="Times New Roman" w:hAnsi="Times New Roman" w:cs="Times New Roman"/>
        </w:rPr>
        <w:t>Carpenter, J., 2000.</w:t>
      </w:r>
      <w:proofErr w:type="gramEnd"/>
      <w:r w:rsidRPr="009E44F5">
        <w:rPr>
          <w:rFonts w:ascii="Times New Roman" w:hAnsi="Times New Roman" w:cs="Times New Roman"/>
        </w:rPr>
        <w:t xml:space="preserve"> </w:t>
      </w:r>
      <w:proofErr w:type="gramStart"/>
      <w:r w:rsidRPr="009E44F5">
        <w:rPr>
          <w:rFonts w:ascii="Times New Roman" w:hAnsi="Times New Roman" w:cs="Times New Roman"/>
        </w:rPr>
        <w:t>Does option compensation in</w:t>
      </w:r>
      <w:r w:rsidR="00723864" w:rsidRPr="009E44F5">
        <w:rPr>
          <w:rFonts w:ascii="Times New Roman" w:hAnsi="Times New Roman" w:cs="Times New Roman"/>
        </w:rPr>
        <w:t xml:space="preserve">crease managerial risk appetite, </w:t>
      </w:r>
      <w:r w:rsidRPr="009E44F5">
        <w:rPr>
          <w:rFonts w:ascii="Times New Roman" w:hAnsi="Times New Roman" w:cs="Times New Roman"/>
          <w:i/>
        </w:rPr>
        <w:t>Journal of Finance</w:t>
      </w:r>
      <w:r w:rsidRPr="009E44F5">
        <w:rPr>
          <w:rFonts w:ascii="Times New Roman" w:hAnsi="Times New Roman" w:cs="Times New Roman"/>
        </w:rPr>
        <w:t xml:space="preserve"> 55, 2311–2331.</w:t>
      </w:r>
      <w:proofErr w:type="gramEnd"/>
    </w:p>
    <w:p w:rsidR="00670B0D" w:rsidRPr="009E44F5" w:rsidRDefault="00670B0D" w:rsidP="00E41E52">
      <w:pPr>
        <w:spacing w:after="120" w:line="240" w:lineRule="auto"/>
        <w:jc w:val="both"/>
        <w:rPr>
          <w:rFonts w:ascii="Times New Roman" w:eastAsia="Times New Roman" w:hAnsi="Times New Roman" w:cs="Times New Roman"/>
        </w:rPr>
      </w:pPr>
      <w:r w:rsidRPr="009E44F5">
        <w:rPr>
          <w:rFonts w:ascii="Times New Roman" w:eastAsia="Times New Roman" w:hAnsi="Times New Roman" w:cs="Times New Roman"/>
        </w:rPr>
        <w:t xml:space="preserve">Carter, M.E. and Lynch, L.J. and Tuna, I., 2007, </w:t>
      </w:r>
      <w:proofErr w:type="gramStart"/>
      <w:r w:rsidRPr="009E44F5">
        <w:rPr>
          <w:rFonts w:ascii="Times New Roman" w:eastAsia="Times New Roman" w:hAnsi="Times New Roman" w:cs="Times New Roman"/>
        </w:rPr>
        <w:t>The</w:t>
      </w:r>
      <w:proofErr w:type="gramEnd"/>
      <w:r w:rsidRPr="009E44F5">
        <w:rPr>
          <w:rFonts w:ascii="Times New Roman" w:eastAsia="Times New Roman" w:hAnsi="Times New Roman" w:cs="Times New Roman"/>
        </w:rPr>
        <w:t xml:space="preserve"> role of accounting in the design of CEO equity compensation, </w:t>
      </w:r>
      <w:r w:rsidRPr="009E44F5">
        <w:rPr>
          <w:rFonts w:ascii="Times New Roman" w:eastAsia="Times New Roman" w:hAnsi="Times New Roman" w:cs="Times New Roman"/>
          <w:i/>
        </w:rPr>
        <w:t>The Accounting Review</w:t>
      </w:r>
      <w:r w:rsidRPr="009E44F5">
        <w:rPr>
          <w:rFonts w:ascii="Times New Roman" w:eastAsia="Times New Roman" w:hAnsi="Times New Roman" w:cs="Times New Roman"/>
        </w:rPr>
        <w:t xml:space="preserve"> 82(2), 327-357.</w:t>
      </w:r>
    </w:p>
    <w:p w:rsidR="00A7118B" w:rsidRPr="009E44F5" w:rsidRDefault="00283799" w:rsidP="00A7118B">
      <w:pPr>
        <w:autoSpaceDE w:val="0"/>
        <w:autoSpaceDN w:val="0"/>
        <w:adjustRightInd w:val="0"/>
        <w:spacing w:after="0" w:line="240" w:lineRule="auto"/>
        <w:rPr>
          <w:rFonts w:ascii="Times New Roman" w:hAnsi="Times New Roman" w:cs="Times New Roman"/>
          <w:i/>
        </w:rPr>
      </w:pPr>
      <w:r w:rsidRPr="009E44F5">
        <w:rPr>
          <w:rFonts w:ascii="Times New Roman" w:hAnsi="Times New Roman" w:cs="Times New Roman"/>
        </w:rPr>
        <w:t xml:space="preserve">Chava, S. and </w:t>
      </w:r>
      <w:proofErr w:type="spellStart"/>
      <w:r w:rsidRPr="009E44F5">
        <w:rPr>
          <w:rFonts w:ascii="Times New Roman" w:hAnsi="Times New Roman" w:cs="Times New Roman"/>
        </w:rPr>
        <w:t>Purnanandam</w:t>
      </w:r>
      <w:proofErr w:type="spellEnd"/>
      <w:r w:rsidRPr="009E44F5">
        <w:rPr>
          <w:rFonts w:ascii="Times New Roman" w:hAnsi="Times New Roman" w:cs="Times New Roman"/>
        </w:rPr>
        <w:t xml:space="preserve"> A., 2010,</w:t>
      </w:r>
      <w:r w:rsidR="00A7118B" w:rsidRPr="009E44F5">
        <w:rPr>
          <w:rFonts w:ascii="Times New Roman" w:hAnsi="Times New Roman" w:cs="Times New Roman"/>
        </w:rPr>
        <w:t xml:space="preserve"> CEOs versus CFOs: In</w:t>
      </w:r>
      <w:r w:rsidRPr="009E44F5">
        <w:rPr>
          <w:rFonts w:ascii="Times New Roman" w:hAnsi="Times New Roman" w:cs="Times New Roman"/>
        </w:rPr>
        <w:t>centives and corporate policies,</w:t>
      </w:r>
      <w:r w:rsidR="00A7118B" w:rsidRPr="009E44F5">
        <w:rPr>
          <w:rFonts w:ascii="Times New Roman" w:hAnsi="Times New Roman" w:cs="Times New Roman"/>
        </w:rPr>
        <w:t xml:space="preserve"> </w:t>
      </w:r>
      <w:r w:rsidR="00A7118B" w:rsidRPr="009E44F5">
        <w:rPr>
          <w:rFonts w:ascii="Times New Roman" w:hAnsi="Times New Roman" w:cs="Times New Roman"/>
          <w:i/>
        </w:rPr>
        <w:t>Journal of</w:t>
      </w:r>
    </w:p>
    <w:p w:rsidR="00283799" w:rsidRPr="009E44F5" w:rsidRDefault="00A7118B" w:rsidP="00A7118B">
      <w:pPr>
        <w:spacing w:after="120" w:line="240" w:lineRule="auto"/>
        <w:jc w:val="both"/>
        <w:rPr>
          <w:rFonts w:ascii="Times New Roman" w:hAnsi="Times New Roman" w:cs="Times New Roman"/>
        </w:rPr>
      </w:pPr>
      <w:r w:rsidRPr="009E44F5">
        <w:rPr>
          <w:rFonts w:ascii="Times New Roman" w:hAnsi="Times New Roman" w:cs="Times New Roman"/>
          <w:i/>
        </w:rPr>
        <w:t>Financial Economics</w:t>
      </w:r>
      <w:r w:rsidRPr="009E44F5">
        <w:rPr>
          <w:rFonts w:ascii="Times New Roman" w:hAnsi="Times New Roman" w:cs="Times New Roman"/>
        </w:rPr>
        <w:t xml:space="preserve"> 97, 263–278.</w:t>
      </w:r>
    </w:p>
    <w:p w:rsidR="00E97211" w:rsidRPr="009E44F5" w:rsidRDefault="00E97211" w:rsidP="00A7118B">
      <w:pPr>
        <w:spacing w:after="120" w:line="240" w:lineRule="auto"/>
        <w:jc w:val="both"/>
        <w:rPr>
          <w:rFonts w:ascii="Times New Roman" w:hAnsi="Times New Roman" w:cs="Times New Roman"/>
        </w:rPr>
      </w:pPr>
      <w:proofErr w:type="gramStart"/>
      <w:r w:rsidRPr="009E44F5">
        <w:rPr>
          <w:rFonts w:ascii="Times New Roman" w:hAnsi="Times New Roman" w:cs="Times New Roman"/>
        </w:rPr>
        <w:t xml:space="preserve">Chen, C. and Jin, Y. and Wen, M.M., 2010, Executive Compensation, Hedging, and Firm Value, </w:t>
      </w:r>
      <w:r w:rsidRPr="006E2A04">
        <w:rPr>
          <w:rFonts w:ascii="Times New Roman" w:hAnsi="Times New Roman" w:cs="Times New Roman"/>
        </w:rPr>
        <w:t>Working Paper</w:t>
      </w:r>
      <w:r w:rsidR="006E2A04">
        <w:rPr>
          <w:rFonts w:ascii="Times New Roman" w:hAnsi="Times New Roman" w:cs="Times New Roman"/>
        </w:rPr>
        <w:t>,</w:t>
      </w:r>
      <w:r w:rsidRPr="006E2A04">
        <w:rPr>
          <w:rFonts w:ascii="Times New Roman" w:hAnsi="Times New Roman" w:cs="Times New Roman"/>
        </w:rPr>
        <w:t xml:space="preserve"> California State University</w:t>
      </w:r>
      <w:r w:rsidRPr="009E44F5">
        <w:rPr>
          <w:rFonts w:ascii="Times New Roman" w:hAnsi="Times New Roman" w:cs="Times New Roman"/>
        </w:rPr>
        <w:t>.</w:t>
      </w:r>
      <w:proofErr w:type="gramEnd"/>
    </w:p>
    <w:p w:rsidR="00E21260" w:rsidRPr="009E44F5" w:rsidRDefault="00723864" w:rsidP="00723864">
      <w:pPr>
        <w:autoSpaceDE w:val="0"/>
        <w:autoSpaceDN w:val="0"/>
        <w:adjustRightInd w:val="0"/>
        <w:spacing w:after="120" w:line="240" w:lineRule="auto"/>
        <w:rPr>
          <w:rFonts w:ascii="Times New Roman" w:hAnsi="Times New Roman" w:cs="Times New Roman"/>
        </w:rPr>
      </w:pPr>
      <w:proofErr w:type="gramStart"/>
      <w:r w:rsidRPr="009E44F5">
        <w:rPr>
          <w:rFonts w:ascii="Times New Roman" w:hAnsi="Times New Roman" w:cs="Times New Roman"/>
        </w:rPr>
        <w:t>Chen, C., Steiner, T. and A. Whyte,</w:t>
      </w:r>
      <w:r w:rsidR="00E21260" w:rsidRPr="009E44F5">
        <w:rPr>
          <w:rFonts w:ascii="Times New Roman" w:hAnsi="Times New Roman" w:cs="Times New Roman"/>
        </w:rPr>
        <w:t xml:space="preserve"> 2006.</w:t>
      </w:r>
      <w:proofErr w:type="gramEnd"/>
      <w:r w:rsidR="00E21260" w:rsidRPr="009E44F5">
        <w:rPr>
          <w:rFonts w:ascii="Times New Roman" w:hAnsi="Times New Roman" w:cs="Times New Roman"/>
        </w:rPr>
        <w:t xml:space="preserve"> Does stock option-based executive</w:t>
      </w:r>
      <w:r w:rsidRPr="009E44F5">
        <w:rPr>
          <w:rFonts w:ascii="Times New Roman" w:hAnsi="Times New Roman" w:cs="Times New Roman"/>
        </w:rPr>
        <w:t xml:space="preserve"> </w:t>
      </w:r>
      <w:r w:rsidR="00E21260" w:rsidRPr="009E44F5">
        <w:rPr>
          <w:rFonts w:ascii="Times New Roman" w:hAnsi="Times New Roman" w:cs="Times New Roman"/>
        </w:rPr>
        <w:t xml:space="preserve">compensation induce risk-taking? </w:t>
      </w:r>
      <w:proofErr w:type="gramStart"/>
      <w:r w:rsidR="00E21260" w:rsidRPr="009E44F5">
        <w:rPr>
          <w:rFonts w:ascii="Times New Roman" w:hAnsi="Times New Roman" w:cs="Times New Roman"/>
        </w:rPr>
        <w:t>An a</w:t>
      </w:r>
      <w:r w:rsidRPr="009E44F5">
        <w:rPr>
          <w:rFonts w:ascii="Times New Roman" w:hAnsi="Times New Roman" w:cs="Times New Roman"/>
        </w:rPr>
        <w:t xml:space="preserve">nalysis of the banking industry, </w:t>
      </w:r>
      <w:r w:rsidR="00E21260" w:rsidRPr="009E44F5">
        <w:rPr>
          <w:rFonts w:ascii="Times New Roman" w:hAnsi="Times New Roman" w:cs="Times New Roman"/>
          <w:i/>
        </w:rPr>
        <w:t>Journal of Banking and Finance</w:t>
      </w:r>
      <w:r w:rsidR="00E21260" w:rsidRPr="009E44F5">
        <w:rPr>
          <w:rFonts w:ascii="Times New Roman" w:hAnsi="Times New Roman" w:cs="Times New Roman"/>
        </w:rPr>
        <w:t xml:space="preserve"> 30, 915–945.</w:t>
      </w:r>
      <w:proofErr w:type="gramEnd"/>
    </w:p>
    <w:p w:rsidR="00E41E52" w:rsidRPr="009E44F5" w:rsidRDefault="00723864" w:rsidP="00723864">
      <w:pPr>
        <w:autoSpaceDE w:val="0"/>
        <w:autoSpaceDN w:val="0"/>
        <w:adjustRightInd w:val="0"/>
        <w:spacing w:after="120" w:line="240" w:lineRule="auto"/>
        <w:rPr>
          <w:rFonts w:ascii="Times New Roman" w:hAnsi="Times New Roman" w:cs="Times New Roman"/>
        </w:rPr>
      </w:pPr>
      <w:proofErr w:type="gramStart"/>
      <w:r w:rsidRPr="009E44F5">
        <w:rPr>
          <w:rFonts w:ascii="Times New Roman" w:hAnsi="Times New Roman" w:cs="Times New Roman"/>
        </w:rPr>
        <w:t>Cheng, Q. and T. Warfield</w:t>
      </w:r>
      <w:r w:rsidR="00E41E52" w:rsidRPr="009E44F5">
        <w:rPr>
          <w:rFonts w:ascii="Times New Roman" w:hAnsi="Times New Roman" w:cs="Times New Roman"/>
        </w:rPr>
        <w:t>, 2005.</w:t>
      </w:r>
      <w:proofErr w:type="gramEnd"/>
      <w:r w:rsidR="00E41E52" w:rsidRPr="009E44F5">
        <w:rPr>
          <w:rFonts w:ascii="Times New Roman" w:hAnsi="Times New Roman" w:cs="Times New Roman"/>
        </w:rPr>
        <w:t xml:space="preserve"> </w:t>
      </w:r>
      <w:proofErr w:type="gramStart"/>
      <w:r w:rsidR="00E41E52" w:rsidRPr="009E44F5">
        <w:rPr>
          <w:rFonts w:ascii="Times New Roman" w:hAnsi="Times New Roman" w:cs="Times New Roman"/>
        </w:rPr>
        <w:t>Equity incentive</w:t>
      </w:r>
      <w:r w:rsidRPr="009E44F5">
        <w:rPr>
          <w:rFonts w:ascii="Times New Roman" w:hAnsi="Times New Roman" w:cs="Times New Roman"/>
        </w:rPr>
        <w:t>s and earnings management,</w:t>
      </w:r>
      <w:r w:rsidR="00E41E52" w:rsidRPr="009E44F5">
        <w:rPr>
          <w:rFonts w:ascii="Times New Roman" w:hAnsi="Times New Roman" w:cs="Times New Roman"/>
        </w:rPr>
        <w:t xml:space="preserve"> </w:t>
      </w:r>
      <w:r w:rsidR="00E41E52" w:rsidRPr="009E44F5">
        <w:rPr>
          <w:rFonts w:ascii="Times New Roman" w:hAnsi="Times New Roman" w:cs="Times New Roman"/>
          <w:i/>
        </w:rPr>
        <w:t>The</w:t>
      </w:r>
      <w:r w:rsidRPr="009E44F5">
        <w:rPr>
          <w:rFonts w:ascii="Times New Roman" w:hAnsi="Times New Roman" w:cs="Times New Roman"/>
          <w:i/>
        </w:rPr>
        <w:t xml:space="preserve"> </w:t>
      </w:r>
      <w:r w:rsidR="00E41E52" w:rsidRPr="009E44F5">
        <w:rPr>
          <w:rFonts w:ascii="Times New Roman" w:hAnsi="Times New Roman" w:cs="Times New Roman"/>
          <w:i/>
        </w:rPr>
        <w:t>Accounting Review</w:t>
      </w:r>
      <w:r w:rsidR="00E41E52" w:rsidRPr="009E44F5">
        <w:rPr>
          <w:rFonts w:ascii="Times New Roman" w:hAnsi="Times New Roman" w:cs="Times New Roman"/>
        </w:rPr>
        <w:t xml:space="preserve"> 80, 441–476.</w:t>
      </w:r>
      <w:proofErr w:type="gramEnd"/>
    </w:p>
    <w:p w:rsidR="00E21260" w:rsidRPr="009E44F5" w:rsidRDefault="00723864" w:rsidP="00723864">
      <w:pPr>
        <w:autoSpaceDE w:val="0"/>
        <w:autoSpaceDN w:val="0"/>
        <w:adjustRightInd w:val="0"/>
        <w:spacing w:after="120" w:line="240" w:lineRule="auto"/>
        <w:rPr>
          <w:rFonts w:ascii="Times New Roman" w:hAnsi="Times New Roman" w:cs="Times New Roman"/>
        </w:rPr>
      </w:pPr>
      <w:proofErr w:type="gramStart"/>
      <w:r w:rsidRPr="009E44F5">
        <w:rPr>
          <w:rFonts w:ascii="Times New Roman" w:hAnsi="Times New Roman" w:cs="Times New Roman"/>
        </w:rPr>
        <w:t>Cohen, R., Hall, B. and</w:t>
      </w:r>
      <w:r w:rsidR="00E21260" w:rsidRPr="009E44F5">
        <w:rPr>
          <w:rFonts w:ascii="Times New Roman" w:hAnsi="Times New Roman" w:cs="Times New Roman"/>
        </w:rPr>
        <w:t xml:space="preserve"> </w:t>
      </w:r>
      <w:r w:rsidRPr="009E44F5">
        <w:rPr>
          <w:rFonts w:ascii="Times New Roman" w:hAnsi="Times New Roman" w:cs="Times New Roman"/>
        </w:rPr>
        <w:t xml:space="preserve">L. </w:t>
      </w:r>
      <w:proofErr w:type="spellStart"/>
      <w:r w:rsidRPr="009E44F5">
        <w:rPr>
          <w:rFonts w:ascii="Times New Roman" w:hAnsi="Times New Roman" w:cs="Times New Roman"/>
        </w:rPr>
        <w:t>Viceira</w:t>
      </w:r>
      <w:proofErr w:type="spellEnd"/>
      <w:r w:rsidRPr="009E44F5">
        <w:rPr>
          <w:rFonts w:ascii="Times New Roman" w:hAnsi="Times New Roman" w:cs="Times New Roman"/>
        </w:rPr>
        <w:t>,</w:t>
      </w:r>
      <w:r w:rsidR="00E21260" w:rsidRPr="009E44F5">
        <w:rPr>
          <w:rFonts w:ascii="Times New Roman" w:hAnsi="Times New Roman" w:cs="Times New Roman"/>
        </w:rPr>
        <w:t xml:space="preserve"> 2000.</w:t>
      </w:r>
      <w:proofErr w:type="gramEnd"/>
      <w:r w:rsidR="00E21260" w:rsidRPr="009E44F5">
        <w:rPr>
          <w:rFonts w:ascii="Times New Roman" w:hAnsi="Times New Roman" w:cs="Times New Roman"/>
        </w:rPr>
        <w:t xml:space="preserve"> Do Executive Stock Options Encourage Risk</w:t>
      </w:r>
      <w:r w:rsidR="006E2A04">
        <w:rPr>
          <w:rFonts w:ascii="Times New Roman" w:hAnsi="Times New Roman" w:cs="Times New Roman"/>
        </w:rPr>
        <w:t xml:space="preserve"> </w:t>
      </w:r>
      <w:r w:rsidR="00E21260" w:rsidRPr="009E44F5">
        <w:rPr>
          <w:rFonts w:ascii="Times New Roman" w:hAnsi="Times New Roman" w:cs="Times New Roman"/>
        </w:rPr>
        <w:t>taking?</w:t>
      </w:r>
      <w:r w:rsidRPr="009E44F5">
        <w:rPr>
          <w:rFonts w:ascii="Times New Roman" w:hAnsi="Times New Roman" w:cs="Times New Roman"/>
        </w:rPr>
        <w:t xml:space="preserve"> </w:t>
      </w:r>
      <w:proofErr w:type="gramStart"/>
      <w:r w:rsidR="00E21260" w:rsidRPr="009E44F5">
        <w:rPr>
          <w:rFonts w:ascii="Times New Roman" w:hAnsi="Times New Roman" w:cs="Times New Roman"/>
        </w:rPr>
        <w:t>Working Paper.</w:t>
      </w:r>
      <w:proofErr w:type="gramEnd"/>
    </w:p>
    <w:p w:rsidR="00E97211" w:rsidRPr="009E44F5" w:rsidRDefault="00E97211" w:rsidP="00E41E52">
      <w:pPr>
        <w:spacing w:after="120" w:line="240" w:lineRule="auto"/>
        <w:jc w:val="both"/>
        <w:rPr>
          <w:rFonts w:ascii="Times New Roman" w:hAnsi="Times New Roman" w:cs="Times New Roman"/>
        </w:rPr>
      </w:pPr>
      <w:proofErr w:type="gramStart"/>
      <w:r w:rsidRPr="009E44F5">
        <w:rPr>
          <w:rFonts w:ascii="Times New Roman" w:hAnsi="Times New Roman" w:cs="Times New Roman"/>
        </w:rPr>
        <w:t xml:space="preserve">Coles, J.L. and Daniel, N.D. and Naveen, L., 2006, Managerial incentives and risk-taking, </w:t>
      </w:r>
      <w:r w:rsidRPr="009E44F5">
        <w:rPr>
          <w:rFonts w:ascii="Times New Roman" w:hAnsi="Times New Roman" w:cs="Times New Roman"/>
          <w:i/>
        </w:rPr>
        <w:t>Journal of Financial Economics</w:t>
      </w:r>
      <w:r w:rsidRPr="009E44F5">
        <w:rPr>
          <w:rFonts w:ascii="Times New Roman" w:hAnsi="Times New Roman" w:cs="Times New Roman"/>
        </w:rPr>
        <w:t xml:space="preserve"> 79(2), 431-468.</w:t>
      </w:r>
      <w:proofErr w:type="gramEnd"/>
    </w:p>
    <w:p w:rsidR="00405A24" w:rsidRPr="009E44F5" w:rsidRDefault="00405A24" w:rsidP="00405A24">
      <w:pPr>
        <w:spacing w:after="120" w:line="240" w:lineRule="auto"/>
        <w:jc w:val="both"/>
        <w:rPr>
          <w:rFonts w:ascii="Times New Roman" w:eastAsia="Times New Roman" w:hAnsi="Times New Roman" w:cs="Times New Roman"/>
        </w:rPr>
      </w:pPr>
      <w:r w:rsidRPr="009E44F5">
        <w:rPr>
          <w:rFonts w:ascii="Times New Roman" w:eastAsia="Times New Roman" w:hAnsi="Times New Roman" w:cs="Times New Roman"/>
        </w:rPr>
        <w:t xml:space="preserve">Cooper, R. W. and J. C. </w:t>
      </w:r>
      <w:proofErr w:type="spellStart"/>
      <w:r w:rsidRPr="009E44F5">
        <w:rPr>
          <w:rFonts w:ascii="Times New Roman" w:eastAsia="Times New Roman" w:hAnsi="Times New Roman" w:cs="Times New Roman"/>
        </w:rPr>
        <w:t>Haltiwanger</w:t>
      </w:r>
      <w:proofErr w:type="spellEnd"/>
      <w:r w:rsidRPr="009E44F5">
        <w:rPr>
          <w:rFonts w:ascii="Times New Roman" w:eastAsia="Times New Roman" w:hAnsi="Times New Roman" w:cs="Times New Roman"/>
        </w:rPr>
        <w:t xml:space="preserve">, 2006, On the Nature of Capital Adjustment Costs, </w:t>
      </w:r>
      <w:r w:rsidRPr="009E44F5">
        <w:rPr>
          <w:rFonts w:ascii="Times New Roman" w:eastAsia="Times New Roman" w:hAnsi="Times New Roman" w:cs="Times New Roman"/>
          <w:i/>
        </w:rPr>
        <w:t>Review of Economic Studies</w:t>
      </w:r>
      <w:r w:rsidRPr="009E44F5">
        <w:rPr>
          <w:rFonts w:ascii="Times New Roman" w:eastAsia="Times New Roman" w:hAnsi="Times New Roman" w:cs="Times New Roman"/>
        </w:rPr>
        <w:t xml:space="preserve"> 73, 611-633.</w:t>
      </w:r>
    </w:p>
    <w:p w:rsidR="00F06CFF" w:rsidRPr="009E44F5" w:rsidRDefault="00F06CFF" w:rsidP="00E41E52">
      <w:pPr>
        <w:autoSpaceDE w:val="0"/>
        <w:autoSpaceDN w:val="0"/>
        <w:adjustRightInd w:val="0"/>
        <w:spacing w:after="120" w:line="240" w:lineRule="auto"/>
        <w:jc w:val="both"/>
        <w:rPr>
          <w:rFonts w:ascii="Times New Roman" w:eastAsia="Times New Roman" w:hAnsi="Times New Roman" w:cs="Times New Roman"/>
        </w:rPr>
      </w:pPr>
      <w:r w:rsidRPr="009E44F5">
        <w:rPr>
          <w:rFonts w:ascii="Times New Roman" w:eastAsia="Times New Roman" w:hAnsi="Times New Roman" w:cs="Times New Roman"/>
        </w:rPr>
        <w:t xml:space="preserve">Core, John and Wayne </w:t>
      </w:r>
      <w:proofErr w:type="spellStart"/>
      <w:r w:rsidRPr="009E44F5">
        <w:rPr>
          <w:rFonts w:ascii="Times New Roman" w:eastAsia="Times New Roman" w:hAnsi="Times New Roman" w:cs="Times New Roman"/>
        </w:rPr>
        <w:t>Guay</w:t>
      </w:r>
      <w:proofErr w:type="spellEnd"/>
      <w:r w:rsidRPr="009E44F5">
        <w:rPr>
          <w:rFonts w:ascii="Times New Roman" w:eastAsia="Times New Roman" w:hAnsi="Times New Roman" w:cs="Times New Roman"/>
        </w:rPr>
        <w:t xml:space="preserve">, 2002, Estimating the Value of Employee Stock Option Portfolios and Their Sensitivities to Price and Volatility, </w:t>
      </w:r>
      <w:r w:rsidRPr="009E44F5">
        <w:rPr>
          <w:rFonts w:ascii="Times New Roman" w:eastAsia="Times New Roman" w:hAnsi="Times New Roman" w:cs="Times New Roman"/>
          <w:i/>
          <w:iCs/>
        </w:rPr>
        <w:t xml:space="preserve">Journal of Accounting Research </w:t>
      </w:r>
      <w:r w:rsidRPr="009E44F5">
        <w:rPr>
          <w:rFonts w:ascii="Times New Roman" w:eastAsia="Times New Roman" w:hAnsi="Times New Roman" w:cs="Times New Roman"/>
        </w:rPr>
        <w:t>40, 613-630.</w:t>
      </w:r>
    </w:p>
    <w:p w:rsidR="00F06CFF" w:rsidRPr="009E44F5" w:rsidRDefault="00F06CFF" w:rsidP="00E41E52">
      <w:pPr>
        <w:spacing w:after="120" w:line="240" w:lineRule="auto"/>
        <w:jc w:val="both"/>
        <w:rPr>
          <w:rFonts w:ascii="Times New Roman" w:eastAsia="Times New Roman" w:hAnsi="Times New Roman" w:cs="Times New Roman"/>
        </w:rPr>
      </w:pPr>
      <w:r w:rsidRPr="009E44F5">
        <w:rPr>
          <w:rFonts w:ascii="Times New Roman" w:eastAsia="Times New Roman" w:hAnsi="Times New Roman" w:cs="Times New Roman"/>
        </w:rPr>
        <w:t xml:space="preserve">Denis, David J., Paul </w:t>
      </w:r>
      <w:proofErr w:type="spellStart"/>
      <w:r w:rsidRPr="009E44F5">
        <w:rPr>
          <w:rFonts w:ascii="Times New Roman" w:eastAsia="Times New Roman" w:hAnsi="Times New Roman" w:cs="Times New Roman"/>
        </w:rPr>
        <w:t>Hanouna</w:t>
      </w:r>
      <w:proofErr w:type="spellEnd"/>
      <w:r w:rsidRPr="009E44F5">
        <w:rPr>
          <w:rFonts w:ascii="Times New Roman" w:eastAsia="Times New Roman" w:hAnsi="Times New Roman" w:cs="Times New Roman"/>
        </w:rPr>
        <w:t xml:space="preserve"> and </w:t>
      </w:r>
      <w:proofErr w:type="spellStart"/>
      <w:r w:rsidRPr="009E44F5">
        <w:rPr>
          <w:rFonts w:ascii="Times New Roman" w:eastAsia="Times New Roman" w:hAnsi="Times New Roman" w:cs="Times New Roman"/>
        </w:rPr>
        <w:t>Atulya</w:t>
      </w:r>
      <w:proofErr w:type="spellEnd"/>
      <w:r w:rsidRPr="009E44F5">
        <w:rPr>
          <w:rFonts w:ascii="Times New Roman" w:eastAsia="Times New Roman" w:hAnsi="Times New Roman" w:cs="Times New Roman"/>
        </w:rPr>
        <w:t xml:space="preserve"> </w:t>
      </w:r>
      <w:proofErr w:type="spellStart"/>
      <w:r w:rsidRPr="009E44F5">
        <w:rPr>
          <w:rFonts w:ascii="Times New Roman" w:eastAsia="Times New Roman" w:hAnsi="Times New Roman" w:cs="Times New Roman"/>
        </w:rPr>
        <w:t>Sarin</w:t>
      </w:r>
      <w:proofErr w:type="spellEnd"/>
      <w:r w:rsidRPr="009E44F5">
        <w:rPr>
          <w:rFonts w:ascii="Times New Roman" w:eastAsia="Times New Roman" w:hAnsi="Times New Roman" w:cs="Times New Roman"/>
        </w:rPr>
        <w:t xml:space="preserve">, 2006, Is There a Dark side to Incentive Compensation? </w:t>
      </w:r>
      <w:r w:rsidRPr="009E44F5">
        <w:rPr>
          <w:rFonts w:ascii="Times New Roman" w:eastAsia="Times New Roman" w:hAnsi="Times New Roman" w:cs="Times New Roman"/>
          <w:i/>
        </w:rPr>
        <w:t>Journal of Corporate Finance</w:t>
      </w:r>
      <w:r w:rsidRPr="009E44F5">
        <w:rPr>
          <w:rFonts w:ascii="Times New Roman" w:eastAsia="Times New Roman" w:hAnsi="Times New Roman" w:cs="Times New Roman"/>
        </w:rPr>
        <w:t xml:space="preserve"> 12, 467-488.</w:t>
      </w:r>
    </w:p>
    <w:p w:rsidR="00670B0D" w:rsidRDefault="00670B0D" w:rsidP="00E41E52">
      <w:pPr>
        <w:spacing w:after="120" w:line="240" w:lineRule="auto"/>
        <w:jc w:val="both"/>
        <w:rPr>
          <w:rFonts w:ascii="Times New Roman" w:hAnsi="Times New Roman" w:cs="Times New Roman"/>
        </w:rPr>
      </w:pPr>
      <w:r w:rsidRPr="009E44F5">
        <w:rPr>
          <w:rFonts w:ascii="Times New Roman" w:hAnsi="Times New Roman" w:cs="Times New Roman"/>
        </w:rPr>
        <w:lastRenderedPageBreak/>
        <w:t>Dong, Z. and Wang, C. and Xie, F., 2010, Do executive stock options induce excessive risk taking</w:t>
      </w:r>
      <w:proofErr w:type="gramStart"/>
      <w:r w:rsidRPr="009E44F5">
        <w:rPr>
          <w:rFonts w:ascii="Times New Roman" w:hAnsi="Times New Roman" w:cs="Times New Roman"/>
        </w:rPr>
        <w:t>?,</w:t>
      </w:r>
      <w:proofErr w:type="gramEnd"/>
      <w:r w:rsidRPr="009E44F5">
        <w:rPr>
          <w:rFonts w:ascii="Times New Roman" w:hAnsi="Times New Roman" w:cs="Times New Roman"/>
        </w:rPr>
        <w:t xml:space="preserve"> </w:t>
      </w:r>
      <w:r w:rsidRPr="009E44F5">
        <w:rPr>
          <w:rFonts w:ascii="Times New Roman" w:hAnsi="Times New Roman" w:cs="Times New Roman"/>
          <w:i/>
        </w:rPr>
        <w:t>Journal of Banking &amp; Finance</w:t>
      </w:r>
      <w:r w:rsidRPr="009E44F5">
        <w:rPr>
          <w:rFonts w:ascii="Times New Roman" w:hAnsi="Times New Roman" w:cs="Times New Roman"/>
        </w:rPr>
        <w:t xml:space="preserve"> 34(10), 2518-2529.</w:t>
      </w:r>
    </w:p>
    <w:p w:rsidR="00043C92" w:rsidRPr="009E44F5" w:rsidRDefault="00043C92" w:rsidP="00E41E52">
      <w:pPr>
        <w:spacing w:after="120" w:line="240" w:lineRule="auto"/>
        <w:jc w:val="both"/>
        <w:rPr>
          <w:rFonts w:ascii="Times New Roman" w:hAnsi="Times New Roman" w:cs="Times New Roman"/>
        </w:rPr>
      </w:pPr>
      <w:proofErr w:type="spellStart"/>
      <w:proofErr w:type="gramStart"/>
      <w:r>
        <w:rPr>
          <w:rFonts w:ascii="Times New Roman" w:hAnsi="Times New Roman" w:cs="Times New Roman"/>
        </w:rPr>
        <w:t>Géczy</w:t>
      </w:r>
      <w:proofErr w:type="spellEnd"/>
      <w:r>
        <w:rPr>
          <w:rFonts w:ascii="Times New Roman" w:hAnsi="Times New Roman" w:cs="Times New Roman"/>
        </w:rPr>
        <w:t xml:space="preserve">, Christopher, Bernadette A. Minton, and Catherine </w:t>
      </w:r>
      <w:proofErr w:type="spellStart"/>
      <w:r>
        <w:rPr>
          <w:rFonts w:ascii="Times New Roman" w:hAnsi="Times New Roman" w:cs="Times New Roman"/>
        </w:rPr>
        <w:t>Schrand</w:t>
      </w:r>
      <w:proofErr w:type="spellEnd"/>
      <w:r>
        <w:rPr>
          <w:rFonts w:ascii="Times New Roman" w:hAnsi="Times New Roman" w:cs="Times New Roman"/>
        </w:rPr>
        <w:t xml:space="preserve">, 1997, Why Firms Use Currency Derivatives, </w:t>
      </w:r>
      <w:r w:rsidRPr="001B5204">
        <w:rPr>
          <w:rFonts w:ascii="Times New Roman" w:hAnsi="Times New Roman" w:cs="Times New Roman"/>
          <w:i/>
        </w:rPr>
        <w:t>Journal of Finance</w:t>
      </w:r>
      <w:r>
        <w:rPr>
          <w:rFonts w:ascii="Times New Roman" w:hAnsi="Times New Roman" w:cs="Times New Roman"/>
        </w:rPr>
        <w:t xml:space="preserve"> 52, 1323-1354.</w:t>
      </w:r>
      <w:proofErr w:type="gramEnd"/>
    </w:p>
    <w:p w:rsidR="00283799" w:rsidRPr="009E44F5" w:rsidRDefault="00283799" w:rsidP="00283799">
      <w:pPr>
        <w:spacing w:after="120" w:line="240" w:lineRule="auto"/>
        <w:jc w:val="both"/>
        <w:rPr>
          <w:rFonts w:ascii="Times New Roman" w:eastAsia="Times New Roman" w:hAnsi="Times New Roman" w:cs="Times New Roman"/>
        </w:rPr>
      </w:pPr>
      <w:r w:rsidRPr="009E44F5">
        <w:rPr>
          <w:rFonts w:ascii="Times New Roman" w:eastAsia="Times New Roman" w:hAnsi="Times New Roman" w:cs="Times New Roman"/>
        </w:rPr>
        <w:t xml:space="preserve">Gormley, T. A., </w:t>
      </w:r>
      <w:proofErr w:type="spellStart"/>
      <w:r w:rsidRPr="009E44F5">
        <w:rPr>
          <w:rFonts w:ascii="Times New Roman" w:eastAsia="Times New Roman" w:hAnsi="Times New Roman" w:cs="Times New Roman"/>
        </w:rPr>
        <w:t>Matsa</w:t>
      </w:r>
      <w:proofErr w:type="spellEnd"/>
      <w:r w:rsidRPr="009E44F5">
        <w:rPr>
          <w:rFonts w:ascii="Times New Roman" w:eastAsia="Times New Roman" w:hAnsi="Times New Roman" w:cs="Times New Roman"/>
        </w:rPr>
        <w:t xml:space="preserve">, D. A. and </w:t>
      </w:r>
      <w:proofErr w:type="spellStart"/>
      <w:r w:rsidRPr="009E44F5">
        <w:rPr>
          <w:rFonts w:ascii="Times New Roman" w:eastAsia="Times New Roman" w:hAnsi="Times New Roman" w:cs="Times New Roman"/>
        </w:rPr>
        <w:t>Milbourn</w:t>
      </w:r>
      <w:proofErr w:type="spellEnd"/>
      <w:r w:rsidRPr="009E44F5">
        <w:rPr>
          <w:rFonts w:ascii="Times New Roman" w:eastAsia="Times New Roman" w:hAnsi="Times New Roman" w:cs="Times New Roman"/>
        </w:rPr>
        <w:t>, T. T., 2012, CEO Compensation and Corporate Risk-Taking: Evidence from a Natural Experiment, Working Paper.</w:t>
      </w:r>
    </w:p>
    <w:p w:rsidR="00F06CFF" w:rsidRPr="009E44F5" w:rsidRDefault="00F06CFF" w:rsidP="00723864">
      <w:pPr>
        <w:spacing w:after="120" w:line="240" w:lineRule="auto"/>
        <w:jc w:val="both"/>
        <w:rPr>
          <w:rFonts w:ascii="Times New Roman" w:eastAsia="Times New Roman" w:hAnsi="Times New Roman" w:cs="Times New Roman"/>
        </w:rPr>
      </w:pPr>
      <w:proofErr w:type="spellStart"/>
      <w:r w:rsidRPr="009E44F5">
        <w:rPr>
          <w:rFonts w:ascii="Times New Roman" w:eastAsia="Times New Roman" w:hAnsi="Times New Roman" w:cs="Times New Roman"/>
        </w:rPr>
        <w:t>Guay</w:t>
      </w:r>
      <w:proofErr w:type="spellEnd"/>
      <w:r w:rsidRPr="009E44F5">
        <w:rPr>
          <w:rFonts w:ascii="Times New Roman" w:eastAsia="Times New Roman" w:hAnsi="Times New Roman" w:cs="Times New Roman"/>
        </w:rPr>
        <w:t xml:space="preserve">, Wayne R., 1999, </w:t>
      </w:r>
      <w:proofErr w:type="gramStart"/>
      <w:r w:rsidRPr="009E44F5">
        <w:rPr>
          <w:rFonts w:ascii="Times New Roman" w:eastAsia="Times New Roman" w:hAnsi="Times New Roman" w:cs="Times New Roman"/>
        </w:rPr>
        <w:t>The</w:t>
      </w:r>
      <w:proofErr w:type="gramEnd"/>
      <w:r w:rsidRPr="009E44F5">
        <w:rPr>
          <w:rFonts w:ascii="Times New Roman" w:eastAsia="Times New Roman" w:hAnsi="Times New Roman" w:cs="Times New Roman"/>
        </w:rPr>
        <w:t xml:space="preserve"> Sensitivity of CEO Wealth to Equity Risk: An Analysis of the Magnitude and Determinants, </w:t>
      </w:r>
      <w:r w:rsidRPr="009E44F5">
        <w:rPr>
          <w:rFonts w:ascii="Times New Roman" w:eastAsia="Times New Roman" w:hAnsi="Times New Roman" w:cs="Times New Roman"/>
          <w:i/>
        </w:rPr>
        <w:t>Journal of Financial Economics</w:t>
      </w:r>
      <w:r w:rsidRPr="009E44F5">
        <w:rPr>
          <w:rFonts w:ascii="Times New Roman" w:eastAsia="Times New Roman" w:hAnsi="Times New Roman" w:cs="Times New Roman"/>
        </w:rPr>
        <w:t xml:space="preserve"> 53, 43-71.</w:t>
      </w:r>
    </w:p>
    <w:p w:rsidR="00F06CFF" w:rsidRPr="009E44F5" w:rsidRDefault="00F06CFF" w:rsidP="00723864">
      <w:pPr>
        <w:spacing w:after="120" w:line="240" w:lineRule="auto"/>
        <w:jc w:val="both"/>
        <w:rPr>
          <w:rFonts w:ascii="Times New Roman" w:eastAsia="Times New Roman" w:hAnsi="Times New Roman" w:cs="Times New Roman"/>
        </w:rPr>
      </w:pPr>
      <w:proofErr w:type="spellStart"/>
      <w:r w:rsidRPr="009E44F5">
        <w:rPr>
          <w:rFonts w:ascii="Times New Roman" w:eastAsia="Times New Roman" w:hAnsi="Times New Roman" w:cs="Times New Roman"/>
        </w:rPr>
        <w:t>Haushalter</w:t>
      </w:r>
      <w:proofErr w:type="spellEnd"/>
      <w:r w:rsidRPr="009E44F5">
        <w:rPr>
          <w:rFonts w:ascii="Times New Roman" w:eastAsia="Times New Roman" w:hAnsi="Times New Roman" w:cs="Times New Roman"/>
        </w:rPr>
        <w:t xml:space="preserve">, David, 2000, Financing Policy, Basis Risk, and Corporate Hedging: Evidence from Oil and Gas Producers, </w:t>
      </w:r>
      <w:r w:rsidRPr="009E44F5">
        <w:rPr>
          <w:rFonts w:ascii="Times New Roman" w:eastAsia="Times New Roman" w:hAnsi="Times New Roman" w:cs="Times New Roman"/>
          <w:i/>
        </w:rPr>
        <w:t>Journal of Finance</w:t>
      </w:r>
      <w:r w:rsidRPr="009E44F5">
        <w:rPr>
          <w:rFonts w:ascii="Times New Roman" w:eastAsia="Times New Roman" w:hAnsi="Times New Roman" w:cs="Times New Roman"/>
        </w:rPr>
        <w:t xml:space="preserve"> 55, 107-152.</w:t>
      </w:r>
    </w:p>
    <w:p w:rsidR="00670B0D" w:rsidRPr="009E44F5" w:rsidRDefault="00670B0D" w:rsidP="00723864">
      <w:pPr>
        <w:pStyle w:val="HTMLPreformatted"/>
        <w:spacing w:after="120"/>
        <w:jc w:val="both"/>
        <w:rPr>
          <w:rFonts w:ascii="Times New Roman" w:hAnsi="Times New Roman" w:cs="Times New Roman"/>
          <w:sz w:val="22"/>
          <w:szCs w:val="22"/>
        </w:rPr>
      </w:pPr>
      <w:r w:rsidRPr="009E44F5">
        <w:rPr>
          <w:rFonts w:ascii="Times New Roman" w:hAnsi="Times New Roman" w:cs="Times New Roman"/>
          <w:sz w:val="22"/>
          <w:szCs w:val="22"/>
        </w:rPr>
        <w:t xml:space="preserve">Hayes, R.M. and Lemmon, M. and </w:t>
      </w:r>
      <w:proofErr w:type="spellStart"/>
      <w:r w:rsidRPr="009E44F5">
        <w:rPr>
          <w:rFonts w:ascii="Times New Roman" w:hAnsi="Times New Roman" w:cs="Times New Roman"/>
          <w:sz w:val="22"/>
          <w:szCs w:val="22"/>
        </w:rPr>
        <w:t>Qiu</w:t>
      </w:r>
      <w:proofErr w:type="spellEnd"/>
      <w:r w:rsidRPr="009E44F5">
        <w:rPr>
          <w:rFonts w:ascii="Times New Roman" w:hAnsi="Times New Roman" w:cs="Times New Roman"/>
          <w:sz w:val="22"/>
          <w:szCs w:val="22"/>
        </w:rPr>
        <w:t xml:space="preserve">, M., 2012, Stock options and managerial incentives for risk taking: Evidence from FAS 123R, </w:t>
      </w:r>
      <w:r w:rsidRPr="009E44F5">
        <w:rPr>
          <w:rFonts w:ascii="Times New Roman" w:hAnsi="Times New Roman" w:cs="Times New Roman"/>
          <w:i/>
          <w:sz w:val="22"/>
          <w:szCs w:val="22"/>
        </w:rPr>
        <w:t>Journal of Financial Economics</w:t>
      </w:r>
      <w:r w:rsidRPr="009E44F5">
        <w:rPr>
          <w:rFonts w:ascii="Times New Roman" w:hAnsi="Times New Roman" w:cs="Times New Roman"/>
          <w:sz w:val="22"/>
          <w:szCs w:val="22"/>
        </w:rPr>
        <w:t>.</w:t>
      </w:r>
    </w:p>
    <w:p w:rsidR="008F3A5E" w:rsidRPr="009E44F5" w:rsidRDefault="00723864" w:rsidP="00723864">
      <w:pPr>
        <w:autoSpaceDE w:val="0"/>
        <w:autoSpaceDN w:val="0"/>
        <w:adjustRightInd w:val="0"/>
        <w:spacing w:after="120" w:line="240" w:lineRule="auto"/>
        <w:jc w:val="both"/>
        <w:rPr>
          <w:rFonts w:ascii="Times New Roman" w:hAnsi="Times New Roman" w:cs="Times New Roman"/>
        </w:rPr>
      </w:pPr>
      <w:proofErr w:type="gramStart"/>
      <w:r w:rsidRPr="009E44F5">
        <w:rPr>
          <w:rFonts w:ascii="Times New Roman" w:hAnsi="Times New Roman" w:cs="Times New Roman"/>
        </w:rPr>
        <w:t xml:space="preserve">Jensen, M., and W. </w:t>
      </w:r>
      <w:proofErr w:type="spellStart"/>
      <w:r w:rsidRPr="009E44F5">
        <w:rPr>
          <w:rFonts w:ascii="Times New Roman" w:hAnsi="Times New Roman" w:cs="Times New Roman"/>
        </w:rPr>
        <w:t>Meckling</w:t>
      </w:r>
      <w:proofErr w:type="spellEnd"/>
      <w:r w:rsidRPr="009E44F5">
        <w:rPr>
          <w:rFonts w:ascii="Times New Roman" w:hAnsi="Times New Roman" w:cs="Times New Roman"/>
        </w:rPr>
        <w:t>,</w:t>
      </w:r>
      <w:r w:rsidR="008F3A5E" w:rsidRPr="009E44F5">
        <w:rPr>
          <w:rFonts w:ascii="Times New Roman" w:hAnsi="Times New Roman" w:cs="Times New Roman"/>
        </w:rPr>
        <w:t xml:space="preserve"> 1976.</w:t>
      </w:r>
      <w:proofErr w:type="gramEnd"/>
      <w:r w:rsidR="008F3A5E" w:rsidRPr="009E44F5">
        <w:rPr>
          <w:rFonts w:ascii="Times New Roman" w:hAnsi="Times New Roman" w:cs="Times New Roman"/>
        </w:rPr>
        <w:t xml:space="preserve"> Theory of the firm: Managerial behavior, agency</w:t>
      </w:r>
      <w:r w:rsidRPr="009E44F5">
        <w:rPr>
          <w:rFonts w:ascii="Times New Roman" w:hAnsi="Times New Roman" w:cs="Times New Roman"/>
        </w:rPr>
        <w:t xml:space="preserve"> costs, and capital structure,</w:t>
      </w:r>
      <w:r w:rsidR="008F3A5E" w:rsidRPr="009E44F5">
        <w:rPr>
          <w:rFonts w:ascii="Times New Roman" w:hAnsi="Times New Roman" w:cs="Times New Roman"/>
        </w:rPr>
        <w:t xml:space="preserve"> </w:t>
      </w:r>
      <w:r w:rsidR="008F3A5E" w:rsidRPr="009E44F5">
        <w:rPr>
          <w:rFonts w:ascii="Times New Roman" w:hAnsi="Times New Roman" w:cs="Times New Roman"/>
          <w:i/>
        </w:rPr>
        <w:t>Journal of Financial Economics</w:t>
      </w:r>
      <w:r w:rsidR="008F3A5E" w:rsidRPr="009E44F5">
        <w:rPr>
          <w:rFonts w:ascii="Times New Roman" w:hAnsi="Times New Roman" w:cs="Times New Roman"/>
        </w:rPr>
        <w:t xml:space="preserve"> 3, 305–360.</w:t>
      </w:r>
    </w:p>
    <w:p w:rsidR="00F06CFF" w:rsidRPr="009E44F5" w:rsidRDefault="00F06CFF" w:rsidP="00723864">
      <w:pPr>
        <w:spacing w:after="120" w:line="240" w:lineRule="auto"/>
        <w:jc w:val="both"/>
        <w:rPr>
          <w:rFonts w:ascii="Times New Roman" w:eastAsia="Times New Roman" w:hAnsi="Times New Roman" w:cs="Times New Roman"/>
        </w:rPr>
      </w:pPr>
      <w:r w:rsidRPr="009E44F5">
        <w:rPr>
          <w:rFonts w:ascii="Times New Roman" w:eastAsia="Times New Roman" w:hAnsi="Times New Roman" w:cs="Times New Roman"/>
        </w:rPr>
        <w:t xml:space="preserve">Jin, </w:t>
      </w:r>
      <w:proofErr w:type="spellStart"/>
      <w:r w:rsidRPr="009E44F5">
        <w:rPr>
          <w:rFonts w:ascii="Times New Roman" w:eastAsia="Times New Roman" w:hAnsi="Times New Roman" w:cs="Times New Roman"/>
        </w:rPr>
        <w:t>Yanbo</w:t>
      </w:r>
      <w:proofErr w:type="spellEnd"/>
      <w:r w:rsidRPr="009E44F5">
        <w:rPr>
          <w:rFonts w:ascii="Times New Roman" w:eastAsia="Times New Roman" w:hAnsi="Times New Roman" w:cs="Times New Roman"/>
        </w:rPr>
        <w:t xml:space="preserve"> and Philippe </w:t>
      </w:r>
      <w:proofErr w:type="spellStart"/>
      <w:r w:rsidRPr="009E44F5">
        <w:rPr>
          <w:rFonts w:ascii="Times New Roman" w:eastAsia="Times New Roman" w:hAnsi="Times New Roman" w:cs="Times New Roman"/>
        </w:rPr>
        <w:t>Jorion</w:t>
      </w:r>
      <w:proofErr w:type="spellEnd"/>
      <w:r w:rsidRPr="009E44F5">
        <w:rPr>
          <w:rFonts w:ascii="Times New Roman" w:eastAsia="Times New Roman" w:hAnsi="Times New Roman" w:cs="Times New Roman"/>
        </w:rPr>
        <w:t xml:space="preserve">, 2006, Firm Value and Hedging: Evidence from U.S. Oil and Gas Producers, </w:t>
      </w:r>
      <w:r w:rsidRPr="009E44F5">
        <w:rPr>
          <w:rFonts w:ascii="Times New Roman" w:eastAsia="Times New Roman" w:hAnsi="Times New Roman" w:cs="Times New Roman"/>
          <w:i/>
        </w:rPr>
        <w:t>Journal of Finance</w:t>
      </w:r>
      <w:r w:rsidRPr="009E44F5">
        <w:rPr>
          <w:rFonts w:ascii="Times New Roman" w:eastAsia="Times New Roman" w:hAnsi="Times New Roman" w:cs="Times New Roman"/>
        </w:rPr>
        <w:t xml:space="preserve"> 61: 893-919.</w:t>
      </w:r>
    </w:p>
    <w:p w:rsidR="00670B0D" w:rsidRPr="009E44F5" w:rsidRDefault="00670B0D" w:rsidP="00723864">
      <w:pPr>
        <w:spacing w:after="120" w:line="240" w:lineRule="auto"/>
        <w:jc w:val="both"/>
        <w:rPr>
          <w:rFonts w:ascii="Times New Roman" w:hAnsi="Times New Roman" w:cs="Times New Roman"/>
        </w:rPr>
      </w:pPr>
      <w:r w:rsidRPr="009E44F5">
        <w:rPr>
          <w:rFonts w:ascii="Times New Roman" w:hAnsi="Times New Roman" w:cs="Times New Roman"/>
        </w:rPr>
        <w:t xml:space="preserve">Knopf, J.D. and Nam, J. and Thornton Jr, J.H., 2002, </w:t>
      </w:r>
      <w:proofErr w:type="gramStart"/>
      <w:r w:rsidRPr="009E44F5">
        <w:rPr>
          <w:rFonts w:ascii="Times New Roman" w:hAnsi="Times New Roman" w:cs="Times New Roman"/>
        </w:rPr>
        <w:t>The</w:t>
      </w:r>
      <w:proofErr w:type="gramEnd"/>
      <w:r w:rsidRPr="009E44F5">
        <w:rPr>
          <w:rFonts w:ascii="Times New Roman" w:hAnsi="Times New Roman" w:cs="Times New Roman"/>
        </w:rPr>
        <w:t xml:space="preserve"> volatility and price sensitivities of managerial stock option portfolios and corporate hedging, </w:t>
      </w:r>
      <w:r w:rsidRPr="009E44F5">
        <w:rPr>
          <w:rFonts w:ascii="Times New Roman" w:hAnsi="Times New Roman" w:cs="Times New Roman"/>
          <w:i/>
        </w:rPr>
        <w:t>The Journal of Finance</w:t>
      </w:r>
      <w:r w:rsidRPr="009E44F5">
        <w:rPr>
          <w:rFonts w:ascii="Times New Roman" w:hAnsi="Times New Roman" w:cs="Times New Roman"/>
        </w:rPr>
        <w:t xml:space="preserve"> 57(2), 801-813.</w:t>
      </w:r>
    </w:p>
    <w:p w:rsidR="00416DB4" w:rsidRPr="009E44F5" w:rsidRDefault="00416DB4" w:rsidP="00723864">
      <w:pPr>
        <w:autoSpaceDE w:val="0"/>
        <w:autoSpaceDN w:val="0"/>
        <w:adjustRightInd w:val="0"/>
        <w:spacing w:after="120" w:line="240" w:lineRule="auto"/>
        <w:jc w:val="both"/>
        <w:rPr>
          <w:rFonts w:ascii="Times New Roman" w:hAnsi="Times New Roman" w:cs="Times New Roman"/>
        </w:rPr>
      </w:pPr>
      <w:proofErr w:type="gramStart"/>
      <w:r w:rsidRPr="009E44F5">
        <w:rPr>
          <w:rFonts w:ascii="Times New Roman" w:hAnsi="Times New Roman" w:cs="Times New Roman"/>
        </w:rPr>
        <w:t xml:space="preserve">Lambert, R., </w:t>
      </w:r>
      <w:proofErr w:type="spellStart"/>
      <w:r w:rsidRPr="009E44F5">
        <w:rPr>
          <w:rFonts w:ascii="Times New Roman" w:hAnsi="Times New Roman" w:cs="Times New Roman"/>
        </w:rPr>
        <w:t>L</w:t>
      </w:r>
      <w:r w:rsidR="00723864" w:rsidRPr="009E44F5">
        <w:rPr>
          <w:rFonts w:ascii="Times New Roman" w:hAnsi="Times New Roman" w:cs="Times New Roman"/>
        </w:rPr>
        <w:t>arcker</w:t>
      </w:r>
      <w:proofErr w:type="spellEnd"/>
      <w:r w:rsidR="00723864" w:rsidRPr="009E44F5">
        <w:rPr>
          <w:rFonts w:ascii="Times New Roman" w:hAnsi="Times New Roman" w:cs="Times New Roman"/>
        </w:rPr>
        <w:t xml:space="preserve">, D. and R. </w:t>
      </w:r>
      <w:proofErr w:type="spellStart"/>
      <w:r w:rsidR="00723864" w:rsidRPr="009E44F5">
        <w:rPr>
          <w:rFonts w:ascii="Times New Roman" w:hAnsi="Times New Roman" w:cs="Times New Roman"/>
        </w:rPr>
        <w:t>Verrecchia</w:t>
      </w:r>
      <w:proofErr w:type="spellEnd"/>
      <w:r w:rsidRPr="009E44F5">
        <w:rPr>
          <w:rFonts w:ascii="Times New Roman" w:hAnsi="Times New Roman" w:cs="Times New Roman"/>
        </w:rPr>
        <w:t>, 1991.</w:t>
      </w:r>
      <w:proofErr w:type="gramEnd"/>
      <w:r w:rsidRPr="009E44F5">
        <w:rPr>
          <w:rFonts w:ascii="Times New Roman" w:hAnsi="Times New Roman" w:cs="Times New Roman"/>
        </w:rPr>
        <w:t xml:space="preserve"> </w:t>
      </w:r>
      <w:proofErr w:type="gramStart"/>
      <w:r w:rsidRPr="009E44F5">
        <w:rPr>
          <w:rFonts w:ascii="Times New Roman" w:hAnsi="Times New Roman" w:cs="Times New Roman"/>
        </w:rPr>
        <w:t>Portfolio considerations in valuing</w:t>
      </w:r>
      <w:r w:rsidR="00723864" w:rsidRPr="009E44F5">
        <w:rPr>
          <w:rFonts w:ascii="Times New Roman" w:hAnsi="Times New Roman" w:cs="Times New Roman"/>
        </w:rPr>
        <w:t xml:space="preserve"> </w:t>
      </w:r>
      <w:r w:rsidRPr="009E44F5">
        <w:rPr>
          <w:rFonts w:ascii="Times New Roman" w:hAnsi="Times New Roman" w:cs="Times New Roman"/>
        </w:rPr>
        <w:t>executive</w:t>
      </w:r>
      <w:r w:rsidR="00723864" w:rsidRPr="009E44F5">
        <w:rPr>
          <w:rFonts w:ascii="Times New Roman" w:hAnsi="Times New Roman" w:cs="Times New Roman"/>
        </w:rPr>
        <w:t xml:space="preserve"> compensation,</w:t>
      </w:r>
      <w:r w:rsidRPr="009E44F5">
        <w:rPr>
          <w:rFonts w:ascii="Times New Roman" w:hAnsi="Times New Roman" w:cs="Times New Roman"/>
        </w:rPr>
        <w:t xml:space="preserve"> </w:t>
      </w:r>
      <w:r w:rsidRPr="009E44F5">
        <w:rPr>
          <w:rFonts w:ascii="Times New Roman" w:hAnsi="Times New Roman" w:cs="Times New Roman"/>
          <w:i/>
        </w:rPr>
        <w:t>Journal of Accounting Research</w:t>
      </w:r>
      <w:r w:rsidRPr="009E44F5">
        <w:rPr>
          <w:rFonts w:ascii="Times New Roman" w:hAnsi="Times New Roman" w:cs="Times New Roman"/>
        </w:rPr>
        <w:t xml:space="preserve"> 29, 129–149.</w:t>
      </w:r>
      <w:proofErr w:type="gramEnd"/>
    </w:p>
    <w:p w:rsidR="0052667E" w:rsidRPr="009E44F5" w:rsidRDefault="0052667E" w:rsidP="0052667E">
      <w:pPr>
        <w:spacing w:after="120" w:line="240" w:lineRule="auto"/>
        <w:jc w:val="both"/>
        <w:rPr>
          <w:rFonts w:ascii="Times New Roman" w:eastAsia="Times New Roman" w:hAnsi="Times New Roman" w:cs="Times New Roman"/>
        </w:rPr>
      </w:pPr>
      <w:r w:rsidRPr="009E44F5">
        <w:rPr>
          <w:rFonts w:ascii="Times New Roman" w:eastAsia="Times New Roman" w:hAnsi="Times New Roman" w:cs="Times New Roman"/>
          <w:lang w:val="nb-NO"/>
        </w:rPr>
        <w:t xml:space="preserve">McConnell, P., Pegg, J., Mott, D., Senyek, C., 2004. </w:t>
      </w:r>
      <w:r w:rsidRPr="009E44F5">
        <w:rPr>
          <w:rFonts w:ascii="Times New Roman" w:eastAsia="Times New Roman" w:hAnsi="Times New Roman" w:cs="Times New Roman"/>
        </w:rPr>
        <w:t>FASB does it: FAS 123(R) requires stock option expensing. Bear Stearns &amp; Co. December 16.</w:t>
      </w:r>
    </w:p>
    <w:p w:rsidR="00670B0D" w:rsidRPr="009E44F5" w:rsidRDefault="00670B0D" w:rsidP="0052667E">
      <w:pPr>
        <w:spacing w:after="120" w:line="240" w:lineRule="auto"/>
        <w:jc w:val="both"/>
        <w:rPr>
          <w:rFonts w:ascii="Times New Roman" w:eastAsia="Times New Roman" w:hAnsi="Times New Roman" w:cs="Times New Roman"/>
        </w:rPr>
      </w:pPr>
      <w:r w:rsidRPr="009E44F5">
        <w:rPr>
          <w:rFonts w:ascii="Times New Roman" w:eastAsia="Times New Roman" w:hAnsi="Times New Roman" w:cs="Times New Roman"/>
        </w:rPr>
        <w:t xml:space="preserve">Murphy, K. J., 2002, Explaining executive compensation: Managerial power versus the perceived cost of stock options, </w:t>
      </w:r>
      <w:r w:rsidRPr="009E44F5">
        <w:rPr>
          <w:rFonts w:ascii="Times New Roman" w:eastAsia="Times New Roman" w:hAnsi="Times New Roman" w:cs="Times New Roman"/>
          <w:i/>
        </w:rPr>
        <w:t>The University of Chicago Law Review</w:t>
      </w:r>
      <w:proofErr w:type="gramStart"/>
      <w:r w:rsidRPr="009E44F5">
        <w:rPr>
          <w:rFonts w:ascii="Times New Roman" w:eastAsia="Times New Roman" w:hAnsi="Times New Roman" w:cs="Times New Roman"/>
        </w:rPr>
        <w:t>,  847</w:t>
      </w:r>
      <w:proofErr w:type="gramEnd"/>
      <w:r w:rsidRPr="009E44F5">
        <w:rPr>
          <w:rFonts w:ascii="Times New Roman" w:eastAsia="Times New Roman" w:hAnsi="Times New Roman" w:cs="Times New Roman"/>
        </w:rPr>
        <w:t>-869.</w:t>
      </w:r>
    </w:p>
    <w:p w:rsidR="00670B0D" w:rsidRPr="009E44F5" w:rsidRDefault="00670B0D" w:rsidP="00723864">
      <w:pPr>
        <w:spacing w:after="120" w:line="240" w:lineRule="auto"/>
        <w:jc w:val="both"/>
        <w:rPr>
          <w:rFonts w:ascii="Times New Roman" w:hAnsi="Times New Roman" w:cs="Times New Roman"/>
        </w:rPr>
      </w:pPr>
      <w:proofErr w:type="gramStart"/>
      <w:r w:rsidRPr="009E44F5">
        <w:rPr>
          <w:rFonts w:ascii="Times New Roman" w:eastAsia="Times New Roman" w:hAnsi="Times New Roman" w:cs="Times New Roman"/>
        </w:rPr>
        <w:t>Murphy, K. J., and B. J. Hall, 2003</w:t>
      </w:r>
      <w:r w:rsidR="004C6901" w:rsidRPr="009E44F5">
        <w:rPr>
          <w:rFonts w:ascii="Times New Roman" w:eastAsia="Times New Roman" w:hAnsi="Times New Roman" w:cs="Times New Roman"/>
        </w:rPr>
        <w:t>.</w:t>
      </w:r>
      <w:proofErr w:type="gramEnd"/>
      <w:r w:rsidR="004C6901" w:rsidRPr="009E44F5">
        <w:rPr>
          <w:rFonts w:ascii="Times New Roman" w:eastAsia="Times New Roman" w:hAnsi="Times New Roman" w:cs="Times New Roman"/>
        </w:rPr>
        <w:t xml:space="preserve"> </w:t>
      </w:r>
      <w:proofErr w:type="gramStart"/>
      <w:r w:rsidRPr="009E44F5">
        <w:rPr>
          <w:rFonts w:ascii="Times New Roman" w:hAnsi="Times New Roman" w:cs="Times New Roman"/>
        </w:rPr>
        <w:t xml:space="preserve">The </w:t>
      </w:r>
      <w:r w:rsidR="004C6901" w:rsidRPr="009E44F5">
        <w:rPr>
          <w:rFonts w:ascii="Times New Roman" w:hAnsi="Times New Roman" w:cs="Times New Roman"/>
        </w:rPr>
        <w:t xml:space="preserve">trouble </w:t>
      </w:r>
      <w:r w:rsidRPr="009E44F5">
        <w:rPr>
          <w:rFonts w:ascii="Times New Roman" w:hAnsi="Times New Roman" w:cs="Times New Roman"/>
        </w:rPr>
        <w:t xml:space="preserve">with </w:t>
      </w:r>
      <w:r w:rsidR="004C6901" w:rsidRPr="009E44F5">
        <w:rPr>
          <w:rFonts w:ascii="Times New Roman" w:hAnsi="Times New Roman" w:cs="Times New Roman"/>
        </w:rPr>
        <w:t>stock options</w:t>
      </w:r>
      <w:r w:rsidRPr="009E44F5">
        <w:rPr>
          <w:rFonts w:ascii="Times New Roman" w:hAnsi="Times New Roman" w:cs="Times New Roman"/>
        </w:rPr>
        <w:t xml:space="preserve">, </w:t>
      </w:r>
      <w:r w:rsidRPr="009E44F5">
        <w:rPr>
          <w:rFonts w:ascii="Times New Roman" w:hAnsi="Times New Roman" w:cs="Times New Roman"/>
          <w:i/>
        </w:rPr>
        <w:t>Journal of Economic Perspectives</w:t>
      </w:r>
      <w:r w:rsidRPr="009E44F5">
        <w:rPr>
          <w:rFonts w:ascii="Times New Roman" w:hAnsi="Times New Roman" w:cs="Times New Roman"/>
        </w:rPr>
        <w:t xml:space="preserve"> 17 (3), 49—70.</w:t>
      </w:r>
      <w:proofErr w:type="gramEnd"/>
    </w:p>
    <w:p w:rsidR="00E41E52" w:rsidRDefault="00E41E52" w:rsidP="00723864">
      <w:pPr>
        <w:autoSpaceDE w:val="0"/>
        <w:autoSpaceDN w:val="0"/>
        <w:adjustRightInd w:val="0"/>
        <w:spacing w:after="120" w:line="240" w:lineRule="auto"/>
        <w:jc w:val="both"/>
        <w:rPr>
          <w:rFonts w:ascii="Times New Roman" w:hAnsi="Times New Roman" w:cs="Times New Roman"/>
        </w:rPr>
      </w:pPr>
      <w:proofErr w:type="spellStart"/>
      <w:r w:rsidRPr="009E44F5">
        <w:rPr>
          <w:rFonts w:ascii="Times New Roman" w:hAnsi="Times New Roman" w:cs="Times New Roman"/>
        </w:rPr>
        <w:t>Peng</w:t>
      </w:r>
      <w:proofErr w:type="spellEnd"/>
      <w:r w:rsidRPr="009E44F5">
        <w:rPr>
          <w:rFonts w:ascii="Times New Roman" w:hAnsi="Times New Roman" w:cs="Times New Roman"/>
        </w:rPr>
        <w:t xml:space="preserve">, L., </w:t>
      </w:r>
      <w:proofErr w:type="spellStart"/>
      <w:r w:rsidRPr="009E44F5">
        <w:rPr>
          <w:rFonts w:ascii="Times New Roman" w:hAnsi="Times New Roman" w:cs="Times New Roman"/>
        </w:rPr>
        <w:t>Roell</w:t>
      </w:r>
      <w:proofErr w:type="spellEnd"/>
      <w:r w:rsidRPr="009E44F5">
        <w:rPr>
          <w:rFonts w:ascii="Times New Roman" w:hAnsi="Times New Roman" w:cs="Times New Roman"/>
        </w:rPr>
        <w:t xml:space="preserve">, A., 2008. </w:t>
      </w:r>
      <w:proofErr w:type="gramStart"/>
      <w:r w:rsidRPr="009E44F5">
        <w:rPr>
          <w:rFonts w:ascii="Times New Roman" w:hAnsi="Times New Roman" w:cs="Times New Roman"/>
        </w:rPr>
        <w:t>Executive pay, earnings manipulation and shareholder</w:t>
      </w:r>
      <w:r w:rsidR="00723864" w:rsidRPr="009E44F5">
        <w:rPr>
          <w:rFonts w:ascii="Times New Roman" w:hAnsi="Times New Roman" w:cs="Times New Roman"/>
        </w:rPr>
        <w:t xml:space="preserve"> </w:t>
      </w:r>
      <w:r w:rsidRPr="009E44F5">
        <w:rPr>
          <w:rFonts w:ascii="Times New Roman" w:hAnsi="Times New Roman" w:cs="Times New Roman"/>
        </w:rPr>
        <w:t>lawsuits</w:t>
      </w:r>
      <w:r w:rsidR="00723864" w:rsidRPr="009E44F5">
        <w:rPr>
          <w:rFonts w:ascii="Times New Roman" w:hAnsi="Times New Roman" w:cs="Times New Roman"/>
        </w:rPr>
        <w:t>,</w:t>
      </w:r>
      <w:r w:rsidRPr="009E44F5">
        <w:rPr>
          <w:rFonts w:ascii="Times New Roman" w:hAnsi="Times New Roman" w:cs="Times New Roman"/>
        </w:rPr>
        <w:t xml:space="preserve"> </w:t>
      </w:r>
      <w:r w:rsidRPr="009E44F5">
        <w:rPr>
          <w:rFonts w:ascii="Times New Roman" w:hAnsi="Times New Roman" w:cs="Times New Roman"/>
          <w:i/>
        </w:rPr>
        <w:t>Review of Finance</w:t>
      </w:r>
      <w:r w:rsidRPr="009E44F5">
        <w:rPr>
          <w:rFonts w:ascii="Times New Roman" w:hAnsi="Times New Roman" w:cs="Times New Roman"/>
        </w:rPr>
        <w:t xml:space="preserve"> 12, 141–184.</w:t>
      </w:r>
      <w:proofErr w:type="gramEnd"/>
    </w:p>
    <w:p w:rsidR="00F41EEF" w:rsidRPr="00F41EEF" w:rsidRDefault="00F41EEF" w:rsidP="00723864">
      <w:pPr>
        <w:autoSpaceDE w:val="0"/>
        <w:autoSpaceDN w:val="0"/>
        <w:adjustRightInd w:val="0"/>
        <w:spacing w:after="120" w:line="240" w:lineRule="auto"/>
        <w:jc w:val="both"/>
        <w:rPr>
          <w:rFonts w:ascii="Times New Roman" w:hAnsi="Times New Roman" w:cs="Times New Roman"/>
        </w:rPr>
      </w:pPr>
      <w:proofErr w:type="spellStart"/>
      <w:r>
        <w:rPr>
          <w:rFonts w:ascii="Times New Roman" w:hAnsi="Times New Roman" w:cs="Times New Roman"/>
        </w:rPr>
        <w:t>Purnana</w:t>
      </w:r>
      <w:r w:rsidR="00944BB1">
        <w:rPr>
          <w:rFonts w:ascii="Times New Roman" w:hAnsi="Times New Roman" w:cs="Times New Roman"/>
        </w:rPr>
        <w:t>n</w:t>
      </w:r>
      <w:r>
        <w:rPr>
          <w:rFonts w:ascii="Times New Roman" w:hAnsi="Times New Roman" w:cs="Times New Roman"/>
        </w:rPr>
        <w:t>dam</w:t>
      </w:r>
      <w:proofErr w:type="spellEnd"/>
      <w:r>
        <w:rPr>
          <w:rFonts w:ascii="Times New Roman" w:hAnsi="Times New Roman" w:cs="Times New Roman"/>
        </w:rPr>
        <w:t xml:space="preserve">, A., 2008, </w:t>
      </w:r>
      <w:proofErr w:type="gramStart"/>
      <w:r>
        <w:rPr>
          <w:rFonts w:ascii="Times New Roman" w:hAnsi="Times New Roman" w:cs="Times New Roman"/>
        </w:rPr>
        <w:t>Financial</w:t>
      </w:r>
      <w:proofErr w:type="gramEnd"/>
      <w:r>
        <w:rPr>
          <w:rFonts w:ascii="Times New Roman" w:hAnsi="Times New Roman" w:cs="Times New Roman"/>
        </w:rPr>
        <w:t xml:space="preserve"> distress and corporate risk management: Theory and practice, </w:t>
      </w:r>
      <w:r>
        <w:rPr>
          <w:rFonts w:ascii="Times New Roman" w:hAnsi="Times New Roman" w:cs="Times New Roman"/>
          <w:i/>
        </w:rPr>
        <w:t>Journal of Financial Economics</w:t>
      </w:r>
      <w:r>
        <w:rPr>
          <w:rFonts w:ascii="Times New Roman" w:hAnsi="Times New Roman" w:cs="Times New Roman"/>
        </w:rPr>
        <w:t>, 87, 706-739.</w:t>
      </w:r>
    </w:p>
    <w:p w:rsidR="00670B0D" w:rsidRPr="009E44F5" w:rsidRDefault="00670B0D" w:rsidP="00723864">
      <w:pPr>
        <w:spacing w:after="120" w:line="240" w:lineRule="auto"/>
        <w:jc w:val="both"/>
        <w:rPr>
          <w:rFonts w:ascii="Times New Roman" w:hAnsi="Times New Roman" w:cs="Times New Roman"/>
        </w:rPr>
      </w:pPr>
      <w:proofErr w:type="spellStart"/>
      <w:proofErr w:type="gramStart"/>
      <w:r w:rsidRPr="009E44F5">
        <w:rPr>
          <w:rFonts w:ascii="Times New Roman" w:hAnsi="Times New Roman" w:cs="Times New Roman"/>
        </w:rPr>
        <w:t>Rajgopal</w:t>
      </w:r>
      <w:proofErr w:type="spellEnd"/>
      <w:r w:rsidRPr="009E44F5">
        <w:rPr>
          <w:rFonts w:ascii="Times New Roman" w:hAnsi="Times New Roman" w:cs="Times New Roman"/>
        </w:rPr>
        <w:t xml:space="preserve">, S. and </w:t>
      </w:r>
      <w:proofErr w:type="spellStart"/>
      <w:r w:rsidRPr="009E44F5">
        <w:rPr>
          <w:rFonts w:ascii="Times New Roman" w:hAnsi="Times New Roman" w:cs="Times New Roman"/>
        </w:rPr>
        <w:t>Shevlin</w:t>
      </w:r>
      <w:proofErr w:type="spellEnd"/>
      <w:r w:rsidRPr="009E44F5">
        <w:rPr>
          <w:rFonts w:ascii="Times New Roman" w:hAnsi="Times New Roman" w:cs="Times New Roman"/>
        </w:rPr>
        <w:t xml:space="preserve">, T., 2002, Empirical evidence on the relation between stock option compensation and risk taking, </w:t>
      </w:r>
      <w:r w:rsidRPr="009E44F5">
        <w:rPr>
          <w:rFonts w:ascii="Times New Roman" w:hAnsi="Times New Roman" w:cs="Times New Roman"/>
          <w:i/>
        </w:rPr>
        <w:t>Journal of Accounting and Economics</w:t>
      </w:r>
      <w:r w:rsidRPr="009E44F5">
        <w:rPr>
          <w:rFonts w:ascii="Times New Roman" w:hAnsi="Times New Roman" w:cs="Times New Roman"/>
        </w:rPr>
        <w:t xml:space="preserve"> 33(2), 145-171.</w:t>
      </w:r>
      <w:proofErr w:type="gramEnd"/>
    </w:p>
    <w:p w:rsidR="008926EF" w:rsidRPr="009E44F5" w:rsidRDefault="008926EF" w:rsidP="008926EF">
      <w:pPr>
        <w:autoSpaceDE w:val="0"/>
        <w:autoSpaceDN w:val="0"/>
        <w:adjustRightInd w:val="0"/>
        <w:spacing w:after="120" w:line="240" w:lineRule="auto"/>
        <w:jc w:val="both"/>
        <w:rPr>
          <w:rFonts w:ascii="Times New Roman" w:hAnsi="Times New Roman" w:cs="Times New Roman"/>
        </w:rPr>
      </w:pPr>
      <w:r w:rsidRPr="009E44F5">
        <w:rPr>
          <w:rFonts w:ascii="Times New Roman" w:hAnsi="Times New Roman" w:cs="Times New Roman"/>
        </w:rPr>
        <w:t xml:space="preserve">Roberts, M and T. Whited, </w:t>
      </w:r>
      <w:proofErr w:type="spellStart"/>
      <w:r w:rsidRPr="009E44F5">
        <w:rPr>
          <w:rFonts w:ascii="Times New Roman" w:hAnsi="Times New Roman" w:cs="Times New Roman"/>
        </w:rPr>
        <w:t>Endogeneity</w:t>
      </w:r>
      <w:proofErr w:type="spellEnd"/>
      <w:r w:rsidRPr="009E44F5">
        <w:rPr>
          <w:rFonts w:ascii="Times New Roman" w:hAnsi="Times New Roman" w:cs="Times New Roman"/>
        </w:rPr>
        <w:t xml:space="preserve"> in empirical corporate finance. </w:t>
      </w:r>
      <w:proofErr w:type="gramStart"/>
      <w:r w:rsidRPr="009E44F5">
        <w:rPr>
          <w:rFonts w:ascii="Times New Roman" w:hAnsi="Times New Roman" w:cs="Times New Roman"/>
        </w:rPr>
        <w:t>Handbook of the Economics of Finance Volume 2, Forthcoming, 2011.</w:t>
      </w:r>
      <w:proofErr w:type="gramEnd"/>
    </w:p>
    <w:p w:rsidR="00670B0D" w:rsidRPr="009E44F5" w:rsidRDefault="00670B0D" w:rsidP="00723864">
      <w:pPr>
        <w:spacing w:after="120" w:line="240" w:lineRule="auto"/>
        <w:jc w:val="both"/>
        <w:rPr>
          <w:rFonts w:ascii="Times New Roman" w:hAnsi="Times New Roman" w:cs="Times New Roman"/>
        </w:rPr>
      </w:pPr>
      <w:r w:rsidRPr="009E44F5">
        <w:rPr>
          <w:rFonts w:ascii="Times New Roman" w:hAnsi="Times New Roman" w:cs="Times New Roman"/>
        </w:rPr>
        <w:t xml:space="preserve">Rogers, D.A., 2002, Does executive portfolio structure affect risk management? </w:t>
      </w:r>
      <w:proofErr w:type="gramStart"/>
      <w:r w:rsidRPr="009E44F5">
        <w:rPr>
          <w:rFonts w:ascii="Times New Roman" w:hAnsi="Times New Roman" w:cs="Times New Roman"/>
        </w:rPr>
        <w:t xml:space="preserve">CEO risk-taking incentives and corporate derivatives usage, </w:t>
      </w:r>
      <w:r w:rsidRPr="009E44F5">
        <w:rPr>
          <w:rFonts w:ascii="Times New Roman" w:hAnsi="Times New Roman" w:cs="Times New Roman"/>
          <w:i/>
        </w:rPr>
        <w:t>Journal of Banking &amp; Finance</w:t>
      </w:r>
      <w:r w:rsidRPr="009E44F5">
        <w:rPr>
          <w:rFonts w:ascii="Times New Roman" w:hAnsi="Times New Roman" w:cs="Times New Roman"/>
        </w:rPr>
        <w:t xml:space="preserve"> 26(2), 271-295.</w:t>
      </w:r>
      <w:proofErr w:type="gramEnd"/>
    </w:p>
    <w:p w:rsidR="00416DB4" w:rsidRPr="009E44F5" w:rsidRDefault="00416DB4" w:rsidP="00723864">
      <w:pPr>
        <w:autoSpaceDE w:val="0"/>
        <w:autoSpaceDN w:val="0"/>
        <w:adjustRightInd w:val="0"/>
        <w:spacing w:after="120" w:line="240" w:lineRule="auto"/>
        <w:jc w:val="both"/>
        <w:rPr>
          <w:rFonts w:ascii="Times New Roman" w:eastAsia="Times New Roman" w:hAnsi="Times New Roman" w:cs="Times New Roman"/>
        </w:rPr>
      </w:pPr>
      <w:proofErr w:type="gramStart"/>
      <w:r w:rsidRPr="009E44F5">
        <w:rPr>
          <w:rFonts w:ascii="Times New Roman" w:hAnsi="Times New Roman" w:cs="Times New Roman"/>
        </w:rPr>
        <w:t>Ross, S., 2004.</w:t>
      </w:r>
      <w:proofErr w:type="gramEnd"/>
      <w:r w:rsidRPr="009E44F5">
        <w:rPr>
          <w:rFonts w:ascii="Times New Roman" w:hAnsi="Times New Roman" w:cs="Times New Roman"/>
        </w:rPr>
        <w:t xml:space="preserve"> </w:t>
      </w:r>
      <w:proofErr w:type="gramStart"/>
      <w:r w:rsidRPr="009E44F5">
        <w:rPr>
          <w:rFonts w:ascii="Times New Roman" w:hAnsi="Times New Roman" w:cs="Times New Roman"/>
        </w:rPr>
        <w:t>Compensation, incentives, and the duality of risk aversion and</w:t>
      </w:r>
      <w:r w:rsidR="00723864" w:rsidRPr="009E44F5">
        <w:rPr>
          <w:rFonts w:ascii="Times New Roman" w:hAnsi="Times New Roman" w:cs="Times New Roman"/>
        </w:rPr>
        <w:t xml:space="preserve"> riskiness,</w:t>
      </w:r>
      <w:r w:rsidRPr="009E44F5">
        <w:rPr>
          <w:rFonts w:ascii="Times New Roman" w:hAnsi="Times New Roman" w:cs="Times New Roman"/>
        </w:rPr>
        <w:t xml:space="preserve"> </w:t>
      </w:r>
      <w:r w:rsidRPr="009E44F5">
        <w:rPr>
          <w:rFonts w:ascii="Times New Roman" w:hAnsi="Times New Roman" w:cs="Times New Roman"/>
          <w:i/>
        </w:rPr>
        <w:t>Journal of Finance</w:t>
      </w:r>
      <w:r w:rsidRPr="009E44F5">
        <w:rPr>
          <w:rFonts w:ascii="Times New Roman" w:hAnsi="Times New Roman" w:cs="Times New Roman"/>
        </w:rPr>
        <w:t xml:space="preserve"> 59, 207–225.</w:t>
      </w:r>
      <w:proofErr w:type="gramEnd"/>
    </w:p>
    <w:p w:rsidR="00F06CFF" w:rsidRPr="009E44F5" w:rsidRDefault="00F06CFF" w:rsidP="00723864">
      <w:pPr>
        <w:tabs>
          <w:tab w:val="left" w:pos="1134"/>
          <w:tab w:val="left" w:pos="3402"/>
          <w:tab w:val="left" w:pos="4111"/>
        </w:tabs>
        <w:spacing w:after="120" w:line="240" w:lineRule="auto"/>
        <w:jc w:val="both"/>
        <w:rPr>
          <w:rFonts w:ascii="Times New Roman" w:eastAsia="Times New Roman" w:hAnsi="Times New Roman" w:cs="Times New Roman"/>
        </w:rPr>
      </w:pPr>
      <w:proofErr w:type="gramStart"/>
      <w:r w:rsidRPr="009E44F5">
        <w:rPr>
          <w:rFonts w:ascii="Times New Roman" w:eastAsia="Times New Roman" w:hAnsi="Times New Roman" w:cs="Times New Roman"/>
        </w:rPr>
        <w:t xml:space="preserve">Smith, Clifford, and René M. </w:t>
      </w:r>
      <w:proofErr w:type="spellStart"/>
      <w:r w:rsidRPr="009E44F5">
        <w:rPr>
          <w:rFonts w:ascii="Times New Roman" w:eastAsia="Times New Roman" w:hAnsi="Times New Roman" w:cs="Times New Roman"/>
        </w:rPr>
        <w:t>Stulz</w:t>
      </w:r>
      <w:proofErr w:type="spellEnd"/>
      <w:r w:rsidRPr="009E44F5">
        <w:rPr>
          <w:rFonts w:ascii="Times New Roman" w:eastAsia="Times New Roman" w:hAnsi="Times New Roman" w:cs="Times New Roman"/>
        </w:rPr>
        <w:t>, 1985</w:t>
      </w:r>
      <w:r w:rsidR="004C6901" w:rsidRPr="009E44F5">
        <w:rPr>
          <w:rFonts w:ascii="Times New Roman" w:eastAsia="Times New Roman" w:hAnsi="Times New Roman" w:cs="Times New Roman"/>
        </w:rPr>
        <w:t>.</w:t>
      </w:r>
      <w:proofErr w:type="gramEnd"/>
      <w:r w:rsidR="004C6901" w:rsidRPr="009E44F5">
        <w:rPr>
          <w:rFonts w:ascii="Times New Roman" w:eastAsia="Times New Roman" w:hAnsi="Times New Roman" w:cs="Times New Roman"/>
        </w:rPr>
        <w:t xml:space="preserve"> </w:t>
      </w:r>
      <w:proofErr w:type="gramStart"/>
      <w:r w:rsidRPr="009E44F5">
        <w:rPr>
          <w:rFonts w:ascii="Times New Roman" w:eastAsia="Times New Roman" w:hAnsi="Times New Roman" w:cs="Times New Roman"/>
        </w:rPr>
        <w:t xml:space="preserve">The </w:t>
      </w:r>
      <w:r w:rsidR="004C6901" w:rsidRPr="009E44F5">
        <w:rPr>
          <w:rFonts w:ascii="Times New Roman" w:eastAsia="Times New Roman" w:hAnsi="Times New Roman" w:cs="Times New Roman"/>
        </w:rPr>
        <w:t xml:space="preserve">determinants </w:t>
      </w:r>
      <w:r w:rsidRPr="009E44F5">
        <w:rPr>
          <w:rFonts w:ascii="Times New Roman" w:eastAsia="Times New Roman" w:hAnsi="Times New Roman" w:cs="Times New Roman"/>
        </w:rPr>
        <w:t xml:space="preserve">of </w:t>
      </w:r>
      <w:r w:rsidR="004C6901" w:rsidRPr="009E44F5">
        <w:rPr>
          <w:rFonts w:ascii="Times New Roman" w:eastAsia="Times New Roman" w:hAnsi="Times New Roman" w:cs="Times New Roman"/>
        </w:rPr>
        <w:t>firms’ hedging policies</w:t>
      </w:r>
      <w:r w:rsidRPr="009E44F5">
        <w:rPr>
          <w:rFonts w:ascii="Times New Roman" w:eastAsia="Times New Roman" w:hAnsi="Times New Roman" w:cs="Times New Roman"/>
        </w:rPr>
        <w:t xml:space="preserve">, </w:t>
      </w:r>
      <w:r w:rsidRPr="009E44F5">
        <w:rPr>
          <w:rFonts w:ascii="Times New Roman" w:eastAsia="Times New Roman" w:hAnsi="Times New Roman" w:cs="Times New Roman"/>
          <w:i/>
        </w:rPr>
        <w:t>Journal of Financial and Quantitative Analysis</w:t>
      </w:r>
      <w:r w:rsidRPr="009E44F5">
        <w:rPr>
          <w:rFonts w:ascii="Times New Roman" w:eastAsia="Times New Roman" w:hAnsi="Times New Roman" w:cs="Times New Roman"/>
        </w:rPr>
        <w:t xml:space="preserve"> 20, 391-405.</w:t>
      </w:r>
      <w:proofErr w:type="gramEnd"/>
    </w:p>
    <w:p w:rsidR="0052667E" w:rsidRPr="009E44F5" w:rsidRDefault="00405A24" w:rsidP="00405A24">
      <w:pPr>
        <w:tabs>
          <w:tab w:val="left" w:pos="1134"/>
          <w:tab w:val="left" w:pos="3402"/>
          <w:tab w:val="left" w:pos="4111"/>
        </w:tabs>
        <w:spacing w:after="120" w:line="240" w:lineRule="auto"/>
        <w:jc w:val="both"/>
        <w:rPr>
          <w:rFonts w:ascii="Times New Roman" w:eastAsia="Times New Roman" w:hAnsi="Times New Roman" w:cs="Times New Roman"/>
        </w:rPr>
      </w:pPr>
      <w:proofErr w:type="spellStart"/>
      <w:r w:rsidRPr="009E44F5">
        <w:rPr>
          <w:rFonts w:ascii="Times New Roman" w:eastAsia="Times New Roman" w:hAnsi="Times New Roman" w:cs="Times New Roman"/>
        </w:rPr>
        <w:t>Strebulaev</w:t>
      </w:r>
      <w:proofErr w:type="spellEnd"/>
      <w:r w:rsidRPr="009E44F5">
        <w:rPr>
          <w:rFonts w:ascii="Times New Roman" w:eastAsia="Times New Roman" w:hAnsi="Times New Roman" w:cs="Times New Roman"/>
        </w:rPr>
        <w:t>, I. A., 2007</w:t>
      </w:r>
      <w:r w:rsidRPr="006E2A04">
        <w:rPr>
          <w:rFonts w:ascii="Times New Roman" w:eastAsia="Times New Roman" w:hAnsi="Times New Roman" w:cs="Times New Roman"/>
        </w:rPr>
        <w:t>, Do Tests of Capital Structure Theory Mean What They</w:t>
      </w:r>
      <w:r w:rsidR="0052667E" w:rsidRPr="006E2A04">
        <w:rPr>
          <w:rFonts w:ascii="Times New Roman" w:eastAsia="Times New Roman" w:hAnsi="Times New Roman" w:cs="Times New Roman"/>
        </w:rPr>
        <w:t xml:space="preserve"> </w:t>
      </w:r>
      <w:r w:rsidRPr="006E2A04">
        <w:rPr>
          <w:rFonts w:ascii="Times New Roman" w:eastAsia="Times New Roman" w:hAnsi="Times New Roman" w:cs="Times New Roman"/>
        </w:rPr>
        <w:t>S</w:t>
      </w:r>
      <w:r w:rsidR="0052667E" w:rsidRPr="006E2A04">
        <w:rPr>
          <w:rFonts w:ascii="Times New Roman" w:eastAsia="Times New Roman" w:hAnsi="Times New Roman" w:cs="Times New Roman"/>
        </w:rPr>
        <w:t>ay</w:t>
      </w:r>
      <w:proofErr w:type="gramStart"/>
      <w:r w:rsidR="0052667E" w:rsidRPr="006E2A04">
        <w:rPr>
          <w:rFonts w:ascii="Times New Roman" w:eastAsia="Times New Roman" w:hAnsi="Times New Roman" w:cs="Times New Roman"/>
        </w:rPr>
        <w:t>?</w:t>
      </w:r>
      <w:r w:rsidR="0052667E" w:rsidRPr="009E44F5">
        <w:rPr>
          <w:rFonts w:ascii="Times New Roman" w:eastAsia="Times New Roman" w:hAnsi="Times New Roman" w:cs="Times New Roman"/>
        </w:rPr>
        <w:t>,</w:t>
      </w:r>
      <w:proofErr w:type="gramEnd"/>
      <w:r w:rsidR="0052667E" w:rsidRPr="009E44F5">
        <w:rPr>
          <w:rFonts w:ascii="Times New Roman" w:eastAsia="Times New Roman" w:hAnsi="Times New Roman" w:cs="Times New Roman"/>
        </w:rPr>
        <w:t xml:space="preserve"> </w:t>
      </w:r>
      <w:r w:rsidR="0052667E" w:rsidRPr="006E2A04">
        <w:rPr>
          <w:rFonts w:ascii="Times New Roman" w:eastAsia="Times New Roman" w:hAnsi="Times New Roman" w:cs="Times New Roman"/>
          <w:i/>
        </w:rPr>
        <w:t>Journal of Finance</w:t>
      </w:r>
      <w:r w:rsidR="0052667E" w:rsidRPr="009E44F5">
        <w:rPr>
          <w:rFonts w:ascii="Times New Roman" w:eastAsia="Times New Roman" w:hAnsi="Times New Roman" w:cs="Times New Roman"/>
        </w:rPr>
        <w:t xml:space="preserve"> 62, 1747-</w:t>
      </w:r>
      <w:r w:rsidRPr="009E44F5">
        <w:rPr>
          <w:rFonts w:ascii="Times New Roman" w:eastAsia="Times New Roman" w:hAnsi="Times New Roman" w:cs="Times New Roman"/>
        </w:rPr>
        <w:t>1787.</w:t>
      </w:r>
    </w:p>
    <w:p w:rsidR="00416DB4" w:rsidRPr="009E44F5" w:rsidRDefault="00416DB4" w:rsidP="00723864">
      <w:pPr>
        <w:autoSpaceDE w:val="0"/>
        <w:autoSpaceDN w:val="0"/>
        <w:adjustRightInd w:val="0"/>
        <w:spacing w:after="120" w:line="240" w:lineRule="auto"/>
        <w:jc w:val="both"/>
        <w:rPr>
          <w:rFonts w:ascii="Times New Roman" w:eastAsia="Times New Roman" w:hAnsi="Times New Roman" w:cs="Times New Roman"/>
        </w:rPr>
      </w:pPr>
      <w:proofErr w:type="gramStart"/>
      <w:r w:rsidRPr="009E44F5">
        <w:rPr>
          <w:rFonts w:ascii="Times New Roman" w:hAnsi="Times New Roman" w:cs="Times New Roman"/>
        </w:rPr>
        <w:lastRenderedPageBreak/>
        <w:t>Tian, Y., 2004.</w:t>
      </w:r>
      <w:proofErr w:type="gramEnd"/>
      <w:r w:rsidRPr="009E44F5">
        <w:rPr>
          <w:rFonts w:ascii="Times New Roman" w:hAnsi="Times New Roman" w:cs="Times New Roman"/>
        </w:rPr>
        <w:t xml:space="preserve"> </w:t>
      </w:r>
      <w:proofErr w:type="gramStart"/>
      <w:r w:rsidRPr="009E44F5">
        <w:rPr>
          <w:rFonts w:ascii="Times New Roman" w:hAnsi="Times New Roman" w:cs="Times New Roman"/>
        </w:rPr>
        <w:t>Too much of a good incentive?</w:t>
      </w:r>
      <w:proofErr w:type="gramEnd"/>
      <w:r w:rsidRPr="009E44F5">
        <w:rPr>
          <w:rFonts w:ascii="Times New Roman" w:hAnsi="Times New Roman" w:cs="Times New Roman"/>
        </w:rPr>
        <w:t xml:space="preserve"> The </w:t>
      </w:r>
      <w:r w:rsidR="00723864" w:rsidRPr="009E44F5">
        <w:rPr>
          <w:rFonts w:ascii="Times New Roman" w:hAnsi="Times New Roman" w:cs="Times New Roman"/>
        </w:rPr>
        <w:t xml:space="preserve">case of executive stock options, </w:t>
      </w:r>
      <w:r w:rsidRPr="006E2A04">
        <w:rPr>
          <w:rFonts w:ascii="Times New Roman" w:hAnsi="Times New Roman" w:cs="Times New Roman"/>
          <w:i/>
        </w:rPr>
        <w:t>Journal of Banking and Finance</w:t>
      </w:r>
      <w:r w:rsidRPr="009E44F5">
        <w:rPr>
          <w:rFonts w:ascii="Times New Roman" w:hAnsi="Times New Roman" w:cs="Times New Roman"/>
        </w:rPr>
        <w:t xml:space="preserve"> 28, 1225–1245.</w:t>
      </w:r>
    </w:p>
    <w:p w:rsidR="006D73D4" w:rsidRPr="00944BB1" w:rsidRDefault="00F06CFF" w:rsidP="00944BB1">
      <w:pPr>
        <w:tabs>
          <w:tab w:val="left" w:pos="1134"/>
          <w:tab w:val="left" w:pos="3402"/>
          <w:tab w:val="left" w:pos="4111"/>
        </w:tabs>
        <w:spacing w:after="120" w:line="240" w:lineRule="auto"/>
        <w:jc w:val="both"/>
        <w:rPr>
          <w:rFonts w:ascii="Times New Roman" w:eastAsia="Times New Roman" w:hAnsi="Times New Roman" w:cs="Times New Roman"/>
        </w:rPr>
      </w:pPr>
      <w:proofErr w:type="spellStart"/>
      <w:r w:rsidRPr="009E44F5">
        <w:rPr>
          <w:rFonts w:ascii="Times New Roman" w:eastAsia="Times New Roman" w:hAnsi="Times New Roman" w:cs="Times New Roman"/>
        </w:rPr>
        <w:t>Tufano</w:t>
      </w:r>
      <w:proofErr w:type="spellEnd"/>
      <w:r w:rsidRPr="009E44F5">
        <w:rPr>
          <w:rFonts w:ascii="Times New Roman" w:eastAsia="Times New Roman" w:hAnsi="Times New Roman" w:cs="Times New Roman"/>
        </w:rPr>
        <w:t>, Peter, 1996</w:t>
      </w:r>
      <w:r w:rsidR="004C6901" w:rsidRPr="009E44F5">
        <w:rPr>
          <w:rFonts w:ascii="Times New Roman" w:eastAsia="Times New Roman" w:hAnsi="Times New Roman" w:cs="Times New Roman"/>
        </w:rPr>
        <w:t xml:space="preserve">. </w:t>
      </w:r>
      <w:r w:rsidRPr="009E44F5">
        <w:rPr>
          <w:rFonts w:ascii="Times New Roman" w:eastAsia="Times New Roman" w:hAnsi="Times New Roman" w:cs="Times New Roman"/>
        </w:rPr>
        <w:t xml:space="preserve">Who </w:t>
      </w:r>
      <w:r w:rsidR="004C6901" w:rsidRPr="009E44F5">
        <w:rPr>
          <w:rFonts w:ascii="Times New Roman" w:eastAsia="Times New Roman" w:hAnsi="Times New Roman" w:cs="Times New Roman"/>
        </w:rPr>
        <w:t>manages risk</w:t>
      </w:r>
      <w:r w:rsidRPr="009E44F5">
        <w:rPr>
          <w:rFonts w:ascii="Times New Roman" w:eastAsia="Times New Roman" w:hAnsi="Times New Roman" w:cs="Times New Roman"/>
        </w:rPr>
        <w:t xml:space="preserve">? An </w:t>
      </w:r>
      <w:r w:rsidR="004C6901" w:rsidRPr="009E44F5">
        <w:rPr>
          <w:rFonts w:ascii="Times New Roman" w:eastAsia="Times New Roman" w:hAnsi="Times New Roman" w:cs="Times New Roman"/>
        </w:rPr>
        <w:t xml:space="preserve">empirical examination </w:t>
      </w:r>
      <w:r w:rsidRPr="009E44F5">
        <w:rPr>
          <w:rFonts w:ascii="Times New Roman" w:eastAsia="Times New Roman" w:hAnsi="Times New Roman" w:cs="Times New Roman"/>
        </w:rPr>
        <w:t xml:space="preserve">of </w:t>
      </w:r>
      <w:r w:rsidR="004C6901" w:rsidRPr="009E44F5">
        <w:rPr>
          <w:rFonts w:ascii="Times New Roman" w:eastAsia="Times New Roman" w:hAnsi="Times New Roman" w:cs="Times New Roman"/>
        </w:rPr>
        <w:t xml:space="preserve">risk management practices </w:t>
      </w:r>
      <w:r w:rsidRPr="009E44F5">
        <w:rPr>
          <w:rFonts w:ascii="Times New Roman" w:eastAsia="Times New Roman" w:hAnsi="Times New Roman" w:cs="Times New Roman"/>
        </w:rPr>
        <w:t xml:space="preserve">in the </w:t>
      </w:r>
      <w:r w:rsidR="004C6901" w:rsidRPr="009E44F5">
        <w:rPr>
          <w:rFonts w:ascii="Times New Roman" w:eastAsia="Times New Roman" w:hAnsi="Times New Roman" w:cs="Times New Roman"/>
        </w:rPr>
        <w:t>gold mining industry</w:t>
      </w:r>
      <w:r w:rsidRPr="009E44F5">
        <w:rPr>
          <w:rFonts w:ascii="Times New Roman" w:eastAsia="Times New Roman" w:hAnsi="Times New Roman" w:cs="Times New Roman"/>
        </w:rPr>
        <w:t xml:space="preserve">, </w:t>
      </w:r>
      <w:r w:rsidRPr="009E44F5">
        <w:rPr>
          <w:rFonts w:ascii="Times New Roman" w:eastAsia="Times New Roman" w:hAnsi="Times New Roman" w:cs="Times New Roman"/>
          <w:i/>
        </w:rPr>
        <w:t>Journal of Finance</w:t>
      </w:r>
      <w:r w:rsidR="00944BB1">
        <w:rPr>
          <w:rFonts w:ascii="Times New Roman" w:eastAsia="Times New Roman" w:hAnsi="Times New Roman" w:cs="Times New Roman"/>
        </w:rPr>
        <w:t xml:space="preserve"> 51, 1097-1137.</w:t>
      </w:r>
    </w:p>
    <w:p w:rsidR="00584230" w:rsidRPr="009E44F5" w:rsidRDefault="00584230">
      <w:pPr>
        <w:rPr>
          <w:rFonts w:ascii="Times New Roman" w:eastAsia="Times New Roman" w:hAnsi="Times New Roman" w:cs="Times New Roman"/>
        </w:rPr>
      </w:pPr>
      <w:r w:rsidRPr="009E44F5">
        <w:rPr>
          <w:rFonts w:ascii="Times New Roman" w:hAnsi="Times New Roman" w:cs="Times New Roman"/>
        </w:rPr>
        <w:br w:type="page"/>
      </w:r>
    </w:p>
    <w:p w:rsidR="00B87971" w:rsidRDefault="00B87971" w:rsidP="00B87971">
      <w:pPr>
        <w:rPr>
          <w:rFonts w:ascii="Times New Roman" w:eastAsia="Times New Roman" w:hAnsi="Times New Roman" w:cs="Times New Roman"/>
          <w:b/>
          <w:sz w:val="24"/>
          <w:szCs w:val="24"/>
        </w:rPr>
      </w:pPr>
    </w:p>
    <w:p w:rsidR="00B87971" w:rsidRPr="009E44F5" w:rsidRDefault="00B87971" w:rsidP="00B87971">
      <w:pPr>
        <w:spacing w:after="0"/>
        <w:jc w:val="center"/>
        <w:rPr>
          <w:rFonts w:ascii="Times New Roman" w:eastAsia="Times New Roman" w:hAnsi="Times New Roman" w:cs="Times New Roman"/>
          <w:b/>
          <w:sz w:val="24"/>
          <w:szCs w:val="24"/>
        </w:rPr>
      </w:pPr>
      <w:proofErr w:type="gramStart"/>
      <w:r w:rsidRPr="009E44F5">
        <w:rPr>
          <w:rFonts w:ascii="Times New Roman" w:eastAsia="Times New Roman" w:hAnsi="Times New Roman" w:cs="Times New Roman"/>
          <w:b/>
          <w:sz w:val="24"/>
          <w:szCs w:val="24"/>
        </w:rPr>
        <w:t>Figure 1.</w:t>
      </w:r>
      <w:proofErr w:type="gramEnd"/>
      <w:r w:rsidRPr="009E44F5">
        <w:rPr>
          <w:rFonts w:ascii="Times New Roman" w:eastAsia="Times New Roman" w:hAnsi="Times New Roman" w:cs="Times New Roman"/>
          <w:b/>
          <w:sz w:val="24"/>
          <w:szCs w:val="24"/>
        </w:rPr>
        <w:t xml:space="preserve"> Average Vegas and Option Pay Ratios</w:t>
      </w:r>
    </w:p>
    <w:p w:rsidR="00B87971" w:rsidRPr="009E44F5" w:rsidRDefault="00B87971" w:rsidP="00B87971">
      <w:pPr>
        <w:spacing w:line="240" w:lineRule="auto"/>
        <w:rPr>
          <w:rFonts w:ascii="Times New Roman" w:eastAsia="Times New Roman" w:hAnsi="Times New Roman" w:cs="Times New Roman"/>
          <w:b/>
          <w:sz w:val="24"/>
          <w:szCs w:val="24"/>
        </w:rPr>
      </w:pPr>
      <w:r w:rsidRPr="009E44F5">
        <w:rPr>
          <w:rFonts w:ascii="Times New Roman" w:eastAsia="Times New Roman" w:hAnsi="Times New Roman" w:cs="Times New Roman"/>
          <w:sz w:val="20"/>
          <w:szCs w:val="20"/>
        </w:rPr>
        <w:t xml:space="preserve">These figures look at the time trend in CEO </w:t>
      </w:r>
      <w:proofErr w:type="spellStart"/>
      <w:r w:rsidRPr="009E44F5">
        <w:rPr>
          <w:rFonts w:ascii="Times New Roman" w:eastAsia="Times New Roman" w:hAnsi="Times New Roman" w:cs="Times New Roman"/>
          <w:sz w:val="20"/>
          <w:szCs w:val="20"/>
        </w:rPr>
        <w:t>vega</w:t>
      </w:r>
      <w:proofErr w:type="spellEnd"/>
      <w:r w:rsidRPr="009E44F5">
        <w:rPr>
          <w:rFonts w:ascii="Times New Roman" w:eastAsia="Times New Roman" w:hAnsi="Times New Roman" w:cs="Times New Roman"/>
          <w:sz w:val="20"/>
          <w:szCs w:val="20"/>
        </w:rPr>
        <w:t xml:space="preserve"> and  the ratio of option pay to total pay around the adoptions of FAS 123R. We plot the average </w:t>
      </w:r>
      <w:proofErr w:type="spellStart"/>
      <w:proofErr w:type="gramStart"/>
      <w:r w:rsidRPr="009E44F5">
        <w:rPr>
          <w:rFonts w:ascii="Times New Roman" w:eastAsia="Times New Roman" w:hAnsi="Times New Roman" w:cs="Times New Roman"/>
          <w:sz w:val="20"/>
          <w:szCs w:val="20"/>
        </w:rPr>
        <w:t>vega</w:t>
      </w:r>
      <w:proofErr w:type="spellEnd"/>
      <w:proofErr w:type="gramEnd"/>
      <w:r w:rsidRPr="009E44F5">
        <w:rPr>
          <w:rFonts w:ascii="Times New Roman" w:eastAsia="Times New Roman" w:hAnsi="Times New Roman" w:cs="Times New Roman"/>
          <w:sz w:val="20"/>
          <w:szCs w:val="20"/>
        </w:rPr>
        <w:t xml:space="preserve"> and option pay/total pay for 2003-2006 for both control groups (and respective treated groups). Control group 1 are firms that did not pay options prior to FAS 123R. Control group 2 are firms that adopted the fair value method prior to FAS 123R. The pre-FAS period is 2003-2004; the post-FAS 123R period is 2005-2006.  Vega is defined in Appendix.</w:t>
      </w:r>
    </w:p>
    <w:p w:rsidR="00B87971" w:rsidRPr="009E44F5" w:rsidRDefault="00B87971" w:rsidP="00B87971">
      <w:pPr>
        <w:autoSpaceDE w:val="0"/>
        <w:autoSpaceDN w:val="0"/>
        <w:adjustRightInd w:val="0"/>
        <w:spacing w:after="0" w:line="240" w:lineRule="auto"/>
        <w:jc w:val="center"/>
        <w:rPr>
          <w:rFonts w:ascii="Times New Roman" w:eastAsia="Times New Roman" w:hAnsi="Times New Roman" w:cs="Times New Roman"/>
          <w:b/>
          <w:sz w:val="24"/>
          <w:szCs w:val="24"/>
        </w:rPr>
      </w:pPr>
      <w:r w:rsidRPr="009E44F5">
        <w:rPr>
          <w:rFonts w:ascii="Times New Roman" w:hAnsi="Times New Roman" w:cs="Times New Roman"/>
          <w:noProof/>
        </w:rPr>
        <w:drawing>
          <wp:inline distT="0" distB="0" distL="0" distR="0">
            <wp:extent cx="4848225" cy="2824162"/>
            <wp:effectExtent l="0" t="0" r="0" b="0"/>
            <wp:docPr id="2" name="Chart 2" descr="Mean&#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87971" w:rsidRPr="009E44F5" w:rsidRDefault="00B87971" w:rsidP="00B87971">
      <w:pPr>
        <w:autoSpaceDE w:val="0"/>
        <w:autoSpaceDN w:val="0"/>
        <w:adjustRightInd w:val="0"/>
        <w:spacing w:after="0" w:line="240" w:lineRule="auto"/>
        <w:jc w:val="center"/>
        <w:rPr>
          <w:rFonts w:ascii="Times New Roman" w:eastAsia="Times New Roman" w:hAnsi="Times New Roman" w:cs="Times New Roman"/>
          <w:b/>
          <w:sz w:val="24"/>
          <w:szCs w:val="24"/>
        </w:rPr>
      </w:pPr>
    </w:p>
    <w:p w:rsidR="00B87971" w:rsidRPr="009E44F5" w:rsidRDefault="00B87971" w:rsidP="00B87971">
      <w:pPr>
        <w:autoSpaceDE w:val="0"/>
        <w:autoSpaceDN w:val="0"/>
        <w:adjustRightInd w:val="0"/>
        <w:spacing w:after="0" w:line="240" w:lineRule="auto"/>
        <w:jc w:val="center"/>
        <w:rPr>
          <w:rFonts w:ascii="Times New Roman" w:eastAsia="Times New Roman" w:hAnsi="Times New Roman" w:cs="Times New Roman"/>
          <w:b/>
          <w:sz w:val="24"/>
          <w:szCs w:val="24"/>
        </w:rPr>
      </w:pPr>
    </w:p>
    <w:p w:rsidR="00B87971" w:rsidRPr="009E44F5" w:rsidRDefault="00B87971" w:rsidP="00B8797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noProof/>
        </w:rPr>
        <w:drawing>
          <wp:inline distT="0" distB="0" distL="0" distR="0">
            <wp:extent cx="4981575" cy="2824162"/>
            <wp:effectExtent l="0" t="0" r="0" b="0"/>
            <wp:docPr id="3" name="Chart 2" descr="Mean&#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87971" w:rsidRPr="009E44F5" w:rsidRDefault="00B87971" w:rsidP="00B87971">
      <w:pPr>
        <w:spacing w:after="0"/>
        <w:jc w:val="center"/>
        <w:rPr>
          <w:rFonts w:ascii="Times New Roman" w:eastAsia="Times New Roman" w:hAnsi="Times New Roman" w:cs="Times New Roman"/>
          <w:b/>
          <w:sz w:val="24"/>
          <w:szCs w:val="24"/>
        </w:rPr>
      </w:pPr>
    </w:p>
    <w:p w:rsidR="00B87971" w:rsidRPr="009E44F5" w:rsidRDefault="00B87971" w:rsidP="00B87971">
      <w:pPr>
        <w:spacing w:after="0"/>
        <w:jc w:val="center"/>
        <w:rPr>
          <w:rFonts w:ascii="Times New Roman" w:eastAsia="Times New Roman" w:hAnsi="Times New Roman" w:cs="Times New Roman"/>
          <w:b/>
          <w:sz w:val="24"/>
          <w:szCs w:val="24"/>
        </w:rPr>
      </w:pPr>
    </w:p>
    <w:p w:rsidR="00B87971" w:rsidRDefault="00B87971" w:rsidP="00B8797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87971" w:rsidRPr="009E44F5" w:rsidRDefault="00B87971" w:rsidP="00B87971">
      <w:pPr>
        <w:spacing w:after="0"/>
        <w:jc w:val="center"/>
        <w:rPr>
          <w:rFonts w:ascii="Times New Roman" w:eastAsia="Times New Roman" w:hAnsi="Times New Roman" w:cs="Times New Roman"/>
          <w:b/>
          <w:sz w:val="24"/>
          <w:szCs w:val="24"/>
        </w:rPr>
      </w:pPr>
      <w:proofErr w:type="gramStart"/>
      <w:r w:rsidRPr="009E44F5">
        <w:rPr>
          <w:rFonts w:ascii="Times New Roman" w:eastAsia="Times New Roman" w:hAnsi="Times New Roman" w:cs="Times New Roman"/>
          <w:b/>
          <w:sz w:val="24"/>
          <w:szCs w:val="24"/>
        </w:rPr>
        <w:lastRenderedPageBreak/>
        <w:t>Figure 2.</w:t>
      </w:r>
      <w:proofErr w:type="gramEnd"/>
      <w:r w:rsidRPr="009E44F5">
        <w:rPr>
          <w:rFonts w:ascii="Times New Roman" w:eastAsia="Times New Roman" w:hAnsi="Times New Roman" w:cs="Times New Roman"/>
          <w:b/>
          <w:sz w:val="24"/>
          <w:szCs w:val="24"/>
        </w:rPr>
        <w:t xml:space="preserve"> Average Total Hedge Ratios</w:t>
      </w:r>
    </w:p>
    <w:p w:rsidR="00B87971" w:rsidRDefault="00B87971" w:rsidP="00B87971">
      <w:pPr>
        <w:tabs>
          <w:tab w:val="left" w:pos="1134"/>
          <w:tab w:val="left" w:pos="3402"/>
          <w:tab w:val="left" w:pos="4111"/>
        </w:tabs>
        <w:spacing w:after="120" w:line="240" w:lineRule="auto"/>
        <w:jc w:val="both"/>
        <w:rPr>
          <w:rFonts w:ascii="Times New Roman" w:eastAsia="Times New Roman" w:hAnsi="Times New Roman" w:cs="Times New Roman"/>
          <w:sz w:val="20"/>
          <w:szCs w:val="20"/>
        </w:rPr>
      </w:pPr>
      <w:r w:rsidRPr="009E44F5">
        <w:rPr>
          <w:rFonts w:ascii="Times New Roman" w:eastAsia="Times New Roman" w:hAnsi="Times New Roman" w:cs="Times New Roman"/>
          <w:sz w:val="20"/>
          <w:szCs w:val="20"/>
        </w:rPr>
        <w:t>These figures look at the time trend in hedge ratios around the adoptions of FAS 123R. We plot the average hedge ratios for 2003-2006 for both control groups (and respective treated groups). Control group 1 are firms that did not pay options prior to FAS 123R. Control group 2 are firms that adopted the fair value method prior to FAS 123R. The pre-FAS period is 2003-2004; the post-FAS 123R period is 2005-2006.  Hedge ratios are defined in Appendix.</w:t>
      </w:r>
    </w:p>
    <w:p w:rsidR="00B87971" w:rsidRPr="009E44F5" w:rsidRDefault="00B87971" w:rsidP="00B87971">
      <w:pPr>
        <w:tabs>
          <w:tab w:val="left" w:pos="1134"/>
          <w:tab w:val="left" w:pos="3402"/>
          <w:tab w:val="left" w:pos="4111"/>
        </w:tabs>
        <w:spacing w:after="120" w:line="240" w:lineRule="auto"/>
        <w:jc w:val="both"/>
        <w:rPr>
          <w:rFonts w:ascii="Times New Roman" w:eastAsia="Times New Roman" w:hAnsi="Times New Roman" w:cs="Times New Roman"/>
          <w:sz w:val="20"/>
          <w:szCs w:val="20"/>
        </w:rPr>
      </w:pPr>
    </w:p>
    <w:p w:rsidR="00B87971" w:rsidRPr="009E44F5" w:rsidRDefault="00B87971" w:rsidP="00B8797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noProof/>
        </w:rPr>
        <w:drawing>
          <wp:inline distT="0" distB="0" distL="0" distR="0">
            <wp:extent cx="5224463" cy="2824162"/>
            <wp:effectExtent l="0" t="0" r="0" b="0"/>
            <wp:docPr id="6" name="Chart 6" descr="Mean&#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87971" w:rsidRPr="009E44F5" w:rsidRDefault="00B87971" w:rsidP="00B87971">
      <w:pPr>
        <w:autoSpaceDE w:val="0"/>
        <w:autoSpaceDN w:val="0"/>
        <w:adjustRightInd w:val="0"/>
        <w:spacing w:after="0" w:line="240" w:lineRule="auto"/>
        <w:jc w:val="center"/>
        <w:rPr>
          <w:rFonts w:ascii="Times New Roman" w:hAnsi="Times New Roman" w:cs="Times New Roman"/>
          <w:sz w:val="20"/>
          <w:szCs w:val="20"/>
        </w:rPr>
      </w:pPr>
    </w:p>
    <w:p w:rsidR="00B87971" w:rsidRPr="009E44F5" w:rsidRDefault="00B87971" w:rsidP="00B87971">
      <w:pPr>
        <w:autoSpaceDE w:val="0"/>
        <w:autoSpaceDN w:val="0"/>
        <w:adjustRightInd w:val="0"/>
        <w:spacing w:after="0" w:line="240" w:lineRule="auto"/>
        <w:jc w:val="center"/>
        <w:rPr>
          <w:rFonts w:ascii="Times New Roman" w:hAnsi="Times New Roman" w:cs="Times New Roman"/>
          <w:sz w:val="20"/>
          <w:szCs w:val="20"/>
        </w:rPr>
      </w:pPr>
    </w:p>
    <w:p w:rsidR="00B87971" w:rsidRPr="009E44F5" w:rsidRDefault="00B87971" w:rsidP="00B87971">
      <w:pPr>
        <w:autoSpaceDE w:val="0"/>
        <w:autoSpaceDN w:val="0"/>
        <w:adjustRightInd w:val="0"/>
        <w:spacing w:after="0" w:line="240" w:lineRule="auto"/>
        <w:jc w:val="center"/>
        <w:rPr>
          <w:rFonts w:ascii="Times New Roman" w:hAnsi="Times New Roman" w:cs="Times New Roman"/>
          <w:sz w:val="20"/>
          <w:szCs w:val="20"/>
        </w:rPr>
      </w:pPr>
    </w:p>
    <w:p w:rsidR="00B87971" w:rsidRPr="009E44F5" w:rsidRDefault="00B87971" w:rsidP="00B87971">
      <w:pPr>
        <w:jc w:val="center"/>
        <w:rPr>
          <w:rFonts w:ascii="Times New Roman" w:hAnsi="Times New Roman" w:cs="Times New Roman"/>
          <w:sz w:val="20"/>
          <w:szCs w:val="20"/>
        </w:rPr>
      </w:pPr>
      <w:r w:rsidRPr="009E44F5">
        <w:rPr>
          <w:rFonts w:ascii="Times New Roman" w:hAnsi="Times New Roman" w:cs="Times New Roman"/>
          <w:noProof/>
        </w:rPr>
        <w:drawing>
          <wp:inline distT="0" distB="0" distL="0" distR="0">
            <wp:extent cx="5257800" cy="2824162"/>
            <wp:effectExtent l="0" t="0" r="0" b="0"/>
            <wp:docPr id="8" name="Chart 8" descr="Mean&#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87971" w:rsidRPr="009E44F5" w:rsidRDefault="00B87971" w:rsidP="00B87971">
      <w:pPr>
        <w:spacing w:after="0"/>
        <w:jc w:val="center"/>
        <w:rPr>
          <w:rFonts w:ascii="Times New Roman" w:eastAsia="Times New Roman" w:hAnsi="Times New Roman" w:cs="Times New Roman"/>
          <w:b/>
          <w:sz w:val="24"/>
          <w:szCs w:val="24"/>
        </w:rPr>
      </w:pPr>
    </w:p>
    <w:p w:rsidR="00B87971" w:rsidRPr="009E44F5" w:rsidRDefault="00B87971" w:rsidP="00B87971">
      <w:pPr>
        <w:tabs>
          <w:tab w:val="left" w:pos="1134"/>
          <w:tab w:val="left" w:pos="3402"/>
          <w:tab w:val="left" w:pos="4111"/>
        </w:tabs>
        <w:spacing w:after="120" w:line="240" w:lineRule="auto"/>
        <w:jc w:val="both"/>
        <w:rPr>
          <w:rFonts w:ascii="Times New Roman" w:eastAsia="Times New Roman" w:hAnsi="Times New Roman" w:cs="Times New Roman"/>
          <w:sz w:val="20"/>
          <w:szCs w:val="20"/>
        </w:rPr>
      </w:pPr>
      <w:r w:rsidRPr="009E44F5">
        <w:rPr>
          <w:rFonts w:ascii="Times New Roman" w:eastAsia="Times New Roman" w:hAnsi="Times New Roman" w:cs="Times New Roman"/>
          <w:sz w:val="20"/>
          <w:szCs w:val="20"/>
        </w:rPr>
        <w:t xml:space="preserve"> </w:t>
      </w:r>
    </w:p>
    <w:p w:rsidR="00723864" w:rsidRPr="009E44F5" w:rsidRDefault="00723864" w:rsidP="00723864">
      <w:pPr>
        <w:pStyle w:val="HTMLPreformatted"/>
        <w:spacing w:after="120"/>
        <w:jc w:val="both"/>
        <w:rPr>
          <w:rFonts w:ascii="Times New Roman" w:hAnsi="Times New Roman" w:cs="Times New Roman"/>
          <w:sz w:val="22"/>
          <w:szCs w:val="22"/>
        </w:rPr>
      </w:pPr>
    </w:p>
    <w:p w:rsidR="00B87971" w:rsidRDefault="00B8797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3140C6" w:rsidRPr="009E44F5" w:rsidRDefault="003140C6" w:rsidP="00723864">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roofErr w:type="gramStart"/>
      <w:r w:rsidRPr="009E44F5">
        <w:rPr>
          <w:rFonts w:ascii="Times New Roman" w:eastAsia="Times New Roman" w:hAnsi="Times New Roman" w:cs="Times New Roman"/>
          <w:b/>
          <w:sz w:val="24"/>
          <w:szCs w:val="24"/>
        </w:rPr>
        <w:lastRenderedPageBreak/>
        <w:t>Table 1</w:t>
      </w:r>
      <w:r w:rsidR="009E017D" w:rsidRPr="009E44F5">
        <w:rPr>
          <w:rFonts w:ascii="Times New Roman" w:eastAsia="Times New Roman" w:hAnsi="Times New Roman" w:cs="Times New Roman"/>
          <w:b/>
          <w:sz w:val="24"/>
          <w:szCs w:val="24"/>
        </w:rPr>
        <w:t>.</w:t>
      </w:r>
      <w:proofErr w:type="gramEnd"/>
      <w:r w:rsidR="009E017D" w:rsidRPr="009E44F5">
        <w:rPr>
          <w:rFonts w:ascii="Times New Roman" w:eastAsia="Times New Roman" w:hAnsi="Times New Roman" w:cs="Times New Roman"/>
          <w:b/>
          <w:sz w:val="24"/>
          <w:szCs w:val="24"/>
        </w:rPr>
        <w:t xml:space="preserve"> </w:t>
      </w:r>
      <w:r w:rsidRPr="009E44F5">
        <w:rPr>
          <w:rFonts w:ascii="Times New Roman" w:eastAsia="Times New Roman" w:hAnsi="Times New Roman" w:cs="Times New Roman"/>
          <w:b/>
          <w:sz w:val="24"/>
          <w:szCs w:val="24"/>
        </w:rPr>
        <w:t>Summary Statistics</w:t>
      </w:r>
    </w:p>
    <w:p w:rsidR="00C90CA1" w:rsidRPr="009E44F5" w:rsidRDefault="003140C6" w:rsidP="000D36CC">
      <w:pPr>
        <w:autoSpaceDE w:val="0"/>
        <w:autoSpaceDN w:val="0"/>
        <w:adjustRightInd w:val="0"/>
        <w:spacing w:after="0" w:line="240" w:lineRule="auto"/>
        <w:jc w:val="both"/>
        <w:rPr>
          <w:rFonts w:ascii="Times New Roman" w:hAnsi="Times New Roman" w:cs="Times New Roman"/>
        </w:rPr>
      </w:pPr>
      <w:r w:rsidRPr="009E44F5">
        <w:rPr>
          <w:rFonts w:ascii="Times New Roman" w:eastAsia="Times New Roman" w:hAnsi="Times New Roman" w:cs="Times New Roman"/>
          <w:sz w:val="20"/>
          <w:szCs w:val="20"/>
        </w:rPr>
        <w:t xml:space="preserve">The Panel A contains summary statistics for the variables used in the analysis over the entire sample period. Panel B contains summary statistics </w:t>
      </w:r>
      <w:r w:rsidR="00A4138E" w:rsidRPr="009E44F5">
        <w:rPr>
          <w:rFonts w:ascii="Times New Roman" w:eastAsia="Times New Roman" w:hAnsi="Times New Roman" w:cs="Times New Roman"/>
          <w:sz w:val="20"/>
          <w:szCs w:val="20"/>
        </w:rPr>
        <w:t>for the variables pre- and post-</w:t>
      </w:r>
      <w:r w:rsidRPr="009E44F5">
        <w:rPr>
          <w:rFonts w:ascii="Times New Roman" w:eastAsia="Times New Roman" w:hAnsi="Times New Roman" w:cs="Times New Roman"/>
          <w:sz w:val="20"/>
          <w:szCs w:val="20"/>
        </w:rPr>
        <w:t>FA</w:t>
      </w:r>
      <w:r w:rsidR="00A4138E" w:rsidRPr="009E44F5">
        <w:rPr>
          <w:rFonts w:ascii="Times New Roman" w:eastAsia="Times New Roman" w:hAnsi="Times New Roman" w:cs="Times New Roman"/>
          <w:sz w:val="20"/>
          <w:szCs w:val="20"/>
        </w:rPr>
        <w:t xml:space="preserve">S </w:t>
      </w:r>
      <w:r w:rsidRPr="009E44F5">
        <w:rPr>
          <w:rFonts w:ascii="Times New Roman" w:eastAsia="Times New Roman" w:hAnsi="Times New Roman" w:cs="Times New Roman"/>
          <w:sz w:val="20"/>
          <w:szCs w:val="20"/>
        </w:rPr>
        <w:t xml:space="preserve">123R. The sample consists of </w:t>
      </w:r>
      <w:r w:rsidR="00681942" w:rsidRPr="009E44F5">
        <w:rPr>
          <w:rFonts w:ascii="Times New Roman" w:eastAsia="Times New Roman" w:hAnsi="Times New Roman" w:cs="Times New Roman"/>
          <w:sz w:val="20"/>
          <w:szCs w:val="20"/>
        </w:rPr>
        <w:t>1</w:t>
      </w:r>
      <w:r w:rsidR="000C1EB0" w:rsidRPr="009E44F5">
        <w:rPr>
          <w:rFonts w:ascii="Times New Roman" w:eastAsia="Times New Roman" w:hAnsi="Times New Roman" w:cs="Times New Roman"/>
          <w:sz w:val="20"/>
          <w:szCs w:val="20"/>
        </w:rPr>
        <w:t>54</w:t>
      </w:r>
      <w:r w:rsidRPr="009E44F5">
        <w:rPr>
          <w:rFonts w:ascii="Times New Roman" w:eastAsia="Times New Roman" w:hAnsi="Times New Roman" w:cs="Times New Roman"/>
          <w:sz w:val="20"/>
          <w:szCs w:val="20"/>
        </w:rPr>
        <w:t xml:space="preserve"> firm-year obs</w:t>
      </w:r>
      <w:r w:rsidR="00975A34" w:rsidRPr="009E44F5">
        <w:rPr>
          <w:rFonts w:ascii="Times New Roman" w:eastAsia="Times New Roman" w:hAnsi="Times New Roman" w:cs="Times New Roman"/>
          <w:sz w:val="20"/>
          <w:szCs w:val="20"/>
        </w:rPr>
        <w:t xml:space="preserve">ervations from SIC code </w:t>
      </w:r>
      <w:r w:rsidR="00A8398A" w:rsidRPr="009E44F5">
        <w:rPr>
          <w:rFonts w:ascii="Times New Roman" w:eastAsia="Times New Roman" w:hAnsi="Times New Roman" w:cs="Times New Roman"/>
          <w:sz w:val="20"/>
          <w:szCs w:val="20"/>
        </w:rPr>
        <w:t>13</w:t>
      </w:r>
      <w:r w:rsidR="00975A34" w:rsidRPr="009E44F5">
        <w:rPr>
          <w:rFonts w:ascii="Times New Roman" w:eastAsia="Times New Roman" w:hAnsi="Times New Roman" w:cs="Times New Roman"/>
          <w:sz w:val="20"/>
          <w:szCs w:val="20"/>
        </w:rPr>
        <w:t>11 over fiscal years 2003 through 2006</w:t>
      </w:r>
      <w:r w:rsidRPr="009E44F5">
        <w:rPr>
          <w:rFonts w:ascii="Times New Roman" w:eastAsia="Times New Roman" w:hAnsi="Times New Roman" w:cs="Times New Roman"/>
          <w:sz w:val="20"/>
          <w:szCs w:val="20"/>
        </w:rPr>
        <w:t xml:space="preserve"> surrounding the adoption of FAS 123R. FAS 123R became effective for all firms with fiscal years beginning after December 2005.  The pre-FAS 123R period is d</w:t>
      </w:r>
      <w:r w:rsidR="00975A34" w:rsidRPr="009E44F5">
        <w:rPr>
          <w:rFonts w:ascii="Times New Roman" w:eastAsia="Times New Roman" w:hAnsi="Times New Roman" w:cs="Times New Roman"/>
          <w:sz w:val="20"/>
          <w:szCs w:val="20"/>
        </w:rPr>
        <w:t>efined as fiscal years from 2003</w:t>
      </w:r>
      <w:r w:rsidRPr="009E44F5">
        <w:rPr>
          <w:rFonts w:ascii="Times New Roman" w:eastAsia="Times New Roman" w:hAnsi="Times New Roman" w:cs="Times New Roman"/>
          <w:sz w:val="20"/>
          <w:szCs w:val="20"/>
        </w:rPr>
        <w:t>-2004 and the post-FAS 123R period is define</w:t>
      </w:r>
      <w:r w:rsidR="00975A34" w:rsidRPr="009E44F5">
        <w:rPr>
          <w:rFonts w:ascii="Times New Roman" w:eastAsia="Times New Roman" w:hAnsi="Times New Roman" w:cs="Times New Roman"/>
          <w:sz w:val="20"/>
          <w:szCs w:val="20"/>
        </w:rPr>
        <w:t>d as fiscal years from 2005-2006</w:t>
      </w:r>
      <w:r w:rsidRPr="009E44F5">
        <w:rPr>
          <w:rFonts w:ascii="Times New Roman" w:eastAsia="Times New Roman" w:hAnsi="Times New Roman" w:cs="Times New Roman"/>
          <w:sz w:val="20"/>
          <w:szCs w:val="20"/>
        </w:rPr>
        <w:t xml:space="preserve">. </w:t>
      </w:r>
      <w:r w:rsidR="00C90CA1" w:rsidRPr="009E44F5">
        <w:rPr>
          <w:rFonts w:ascii="Times New Roman" w:eastAsia="Times New Roman" w:hAnsi="Times New Roman" w:cs="Times New Roman"/>
          <w:sz w:val="20"/>
          <w:szCs w:val="20"/>
        </w:rPr>
        <w:t>Panel C</w:t>
      </w:r>
      <w:r w:rsidR="00667523" w:rsidRPr="009E44F5">
        <w:rPr>
          <w:rFonts w:ascii="Times New Roman" w:eastAsia="Times New Roman" w:hAnsi="Times New Roman" w:cs="Times New Roman"/>
          <w:sz w:val="20"/>
          <w:szCs w:val="20"/>
        </w:rPr>
        <w:t xml:space="preserve"> contains summary statistics for </w:t>
      </w:r>
      <w:r w:rsidR="00EC26A8" w:rsidRPr="009E44F5">
        <w:rPr>
          <w:rFonts w:ascii="Times New Roman" w:eastAsia="Times New Roman" w:hAnsi="Times New Roman" w:cs="Times New Roman"/>
          <w:sz w:val="20"/>
          <w:szCs w:val="20"/>
        </w:rPr>
        <w:t xml:space="preserve">the treated and control group where control firms are firms that had no option pay prior to the adoption of FAS 123R. Panel D contains summary statistics for the treated and control group where control firms are firms that expensed options using the fair-value method prior to the adoption of FAS 123R. </w:t>
      </w:r>
      <w:r w:rsidRPr="009E44F5">
        <w:rPr>
          <w:rFonts w:ascii="Times New Roman" w:eastAsia="Times New Roman" w:hAnsi="Times New Roman" w:cs="Times New Roman"/>
          <w:sz w:val="20"/>
          <w:szCs w:val="20"/>
        </w:rPr>
        <w:t>Var</w:t>
      </w:r>
      <w:r w:rsidR="00B1652A" w:rsidRPr="009E44F5">
        <w:rPr>
          <w:rFonts w:ascii="Times New Roman" w:eastAsia="Times New Roman" w:hAnsi="Times New Roman" w:cs="Times New Roman"/>
          <w:sz w:val="20"/>
          <w:szCs w:val="20"/>
        </w:rPr>
        <w:t xml:space="preserve">iables are defined in </w:t>
      </w:r>
      <w:r w:rsidR="002E70C5" w:rsidRPr="009E44F5">
        <w:rPr>
          <w:rFonts w:ascii="Times New Roman" w:eastAsia="Times New Roman" w:hAnsi="Times New Roman" w:cs="Times New Roman"/>
          <w:sz w:val="20"/>
          <w:szCs w:val="20"/>
        </w:rPr>
        <w:t>the Appendix.</w:t>
      </w:r>
      <w:r w:rsidR="00C90CA1" w:rsidRPr="009E44F5">
        <w:rPr>
          <w:rFonts w:ascii="Times New Roman" w:eastAsia="Times New Roman" w:hAnsi="Times New Roman" w:cs="Times New Roman"/>
          <w:sz w:val="20"/>
          <w:szCs w:val="20"/>
        </w:rPr>
        <w:t xml:space="preserve"> </w:t>
      </w:r>
      <w:r w:rsidR="007C2C5E" w:rsidRPr="009E44F5">
        <w:rPr>
          <w:rFonts w:ascii="Times New Roman" w:hAnsi="Times New Roman" w:cs="Times New Roman"/>
          <w:sz w:val="20"/>
          <w:szCs w:val="20"/>
        </w:rPr>
        <w:t xml:space="preserve">* indicates that mean or median of the variable in, the pre– and post– periods (in  Panel B), control groups and treated groups (in Panel C and D), are significantly </w:t>
      </w:r>
      <w:r w:rsidR="00E57C6D" w:rsidRPr="009E44F5">
        <w:rPr>
          <w:rFonts w:ascii="Times New Roman" w:hAnsi="Times New Roman" w:cs="Times New Roman"/>
          <w:sz w:val="20"/>
          <w:szCs w:val="20"/>
        </w:rPr>
        <w:t>different at 10% using  t-test for means and Wilcoxon signed rank sum test for medians</w:t>
      </w:r>
      <w:r w:rsidR="00E57C6D" w:rsidRPr="009E44F5">
        <w:rPr>
          <w:rFonts w:ascii="Times New Roman" w:hAnsi="Times New Roman" w:cs="Times New Roman"/>
        </w:rPr>
        <w:t>.</w:t>
      </w:r>
    </w:p>
    <w:p w:rsidR="00834FC4" w:rsidRPr="009E44F5" w:rsidRDefault="00834FC4" w:rsidP="000D36CC">
      <w:pPr>
        <w:autoSpaceDE w:val="0"/>
        <w:autoSpaceDN w:val="0"/>
        <w:adjustRightInd w:val="0"/>
        <w:spacing w:after="0" w:line="240" w:lineRule="auto"/>
        <w:jc w:val="both"/>
        <w:rPr>
          <w:rFonts w:ascii="Times New Roman" w:eastAsia="Times New Roman" w:hAnsi="Times New Roman" w:cs="Times New Roman"/>
        </w:rPr>
      </w:pPr>
    </w:p>
    <w:tbl>
      <w:tblPr>
        <w:tblW w:w="5000" w:type="pct"/>
        <w:jc w:val="center"/>
        <w:tblBorders>
          <w:top w:val="single" w:sz="2" w:space="0" w:color="000000"/>
        </w:tblBorders>
        <w:tblCellMar>
          <w:left w:w="115" w:type="dxa"/>
          <w:right w:w="115" w:type="dxa"/>
        </w:tblCellMar>
        <w:tblLook w:val="0000"/>
      </w:tblPr>
      <w:tblGrid>
        <w:gridCol w:w="2118"/>
        <w:gridCol w:w="1136"/>
        <w:gridCol w:w="1515"/>
        <w:gridCol w:w="1703"/>
        <w:gridCol w:w="1609"/>
        <w:gridCol w:w="1509"/>
      </w:tblGrid>
      <w:tr w:rsidR="009E44F5" w:rsidRPr="009E44F5" w:rsidTr="008B226F">
        <w:trPr>
          <w:cantSplit/>
          <w:trHeight w:val="144"/>
          <w:jc w:val="center"/>
        </w:trPr>
        <w:tc>
          <w:tcPr>
            <w:tcW w:w="1104" w:type="pct"/>
            <w:tcBorders>
              <w:top w:val="nil"/>
              <w:bottom w:val="single" w:sz="2" w:space="0" w:color="000000"/>
            </w:tcBorders>
          </w:tcPr>
          <w:p w:rsidR="00681942" w:rsidRPr="009E44F5" w:rsidRDefault="00681942" w:rsidP="00D93A8C">
            <w:pPr>
              <w:autoSpaceDE w:val="0"/>
              <w:autoSpaceDN w:val="0"/>
              <w:adjustRightInd w:val="0"/>
              <w:spacing w:after="0" w:line="240" w:lineRule="auto"/>
              <w:rPr>
                <w:rFonts w:ascii="Times New Roman" w:hAnsi="Times New Roman" w:cs="Times New Roman"/>
                <w:b/>
                <w:sz w:val="20"/>
                <w:szCs w:val="20"/>
              </w:rPr>
            </w:pPr>
            <w:r w:rsidRPr="009E44F5">
              <w:rPr>
                <w:rFonts w:ascii="Times New Roman" w:hAnsi="Times New Roman" w:cs="Times New Roman"/>
                <w:b/>
                <w:sz w:val="20"/>
                <w:szCs w:val="20"/>
              </w:rPr>
              <w:t>Panel A: Full Sample</w:t>
            </w:r>
          </w:p>
        </w:tc>
        <w:tc>
          <w:tcPr>
            <w:tcW w:w="592" w:type="pct"/>
            <w:tcBorders>
              <w:top w:val="nil"/>
              <w:bottom w:val="single" w:sz="2" w:space="0" w:color="000000"/>
            </w:tcBorders>
          </w:tcPr>
          <w:p w:rsidR="00681942" w:rsidRPr="009E44F5" w:rsidRDefault="00681942" w:rsidP="00D93A8C">
            <w:pPr>
              <w:autoSpaceDE w:val="0"/>
              <w:autoSpaceDN w:val="0"/>
              <w:adjustRightInd w:val="0"/>
              <w:spacing w:after="0" w:line="240" w:lineRule="auto"/>
              <w:jc w:val="center"/>
              <w:rPr>
                <w:rFonts w:ascii="Times New Roman" w:hAnsi="Times New Roman" w:cs="Times New Roman"/>
                <w:sz w:val="20"/>
                <w:szCs w:val="20"/>
              </w:rPr>
            </w:pPr>
          </w:p>
        </w:tc>
        <w:tc>
          <w:tcPr>
            <w:tcW w:w="790" w:type="pct"/>
            <w:tcBorders>
              <w:top w:val="nil"/>
              <w:bottom w:val="single" w:sz="2" w:space="0" w:color="000000"/>
            </w:tcBorders>
          </w:tcPr>
          <w:p w:rsidR="00681942" w:rsidRPr="009E44F5" w:rsidRDefault="00681942" w:rsidP="00D93A8C">
            <w:pPr>
              <w:autoSpaceDE w:val="0"/>
              <w:autoSpaceDN w:val="0"/>
              <w:adjustRightInd w:val="0"/>
              <w:spacing w:after="0" w:line="240" w:lineRule="auto"/>
              <w:jc w:val="center"/>
              <w:rPr>
                <w:rFonts w:ascii="Times New Roman" w:hAnsi="Times New Roman" w:cs="Times New Roman"/>
                <w:sz w:val="20"/>
                <w:szCs w:val="20"/>
              </w:rPr>
            </w:pPr>
          </w:p>
        </w:tc>
        <w:tc>
          <w:tcPr>
            <w:tcW w:w="888" w:type="pct"/>
            <w:tcBorders>
              <w:top w:val="nil"/>
              <w:bottom w:val="single" w:sz="2" w:space="0" w:color="000000"/>
            </w:tcBorders>
          </w:tcPr>
          <w:p w:rsidR="00681942" w:rsidRPr="009E44F5" w:rsidRDefault="00681942" w:rsidP="00D93A8C">
            <w:pPr>
              <w:autoSpaceDE w:val="0"/>
              <w:autoSpaceDN w:val="0"/>
              <w:adjustRightInd w:val="0"/>
              <w:spacing w:after="0" w:line="240" w:lineRule="auto"/>
              <w:jc w:val="center"/>
              <w:rPr>
                <w:rFonts w:ascii="Times New Roman" w:hAnsi="Times New Roman" w:cs="Times New Roman"/>
                <w:sz w:val="20"/>
                <w:szCs w:val="20"/>
              </w:rPr>
            </w:pPr>
          </w:p>
        </w:tc>
        <w:tc>
          <w:tcPr>
            <w:tcW w:w="839" w:type="pct"/>
            <w:tcBorders>
              <w:top w:val="nil"/>
              <w:bottom w:val="single" w:sz="2" w:space="0" w:color="000000"/>
            </w:tcBorders>
          </w:tcPr>
          <w:p w:rsidR="00681942" w:rsidRPr="009E44F5" w:rsidRDefault="00681942" w:rsidP="00D93A8C">
            <w:pPr>
              <w:autoSpaceDE w:val="0"/>
              <w:autoSpaceDN w:val="0"/>
              <w:adjustRightInd w:val="0"/>
              <w:spacing w:after="0" w:line="240" w:lineRule="auto"/>
              <w:jc w:val="center"/>
              <w:rPr>
                <w:rFonts w:ascii="Times New Roman" w:hAnsi="Times New Roman" w:cs="Times New Roman"/>
                <w:sz w:val="20"/>
                <w:szCs w:val="20"/>
              </w:rPr>
            </w:pPr>
          </w:p>
        </w:tc>
        <w:tc>
          <w:tcPr>
            <w:tcW w:w="787" w:type="pct"/>
            <w:tcBorders>
              <w:top w:val="nil"/>
              <w:bottom w:val="single" w:sz="2" w:space="0" w:color="000000"/>
            </w:tcBorders>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p>
        </w:tc>
      </w:tr>
      <w:tr w:rsidR="009E44F5" w:rsidRPr="009E44F5" w:rsidTr="00944BB1">
        <w:trPr>
          <w:cantSplit/>
          <w:trHeight w:val="144"/>
          <w:jc w:val="center"/>
        </w:trPr>
        <w:tc>
          <w:tcPr>
            <w:tcW w:w="1104" w:type="pct"/>
            <w:tcBorders>
              <w:top w:val="single" w:sz="2" w:space="0" w:color="000000"/>
            </w:tcBorders>
          </w:tcPr>
          <w:p w:rsidR="00681942" w:rsidRPr="009E44F5" w:rsidRDefault="00681942" w:rsidP="00D93A8C">
            <w:pPr>
              <w:autoSpaceDE w:val="0"/>
              <w:autoSpaceDN w:val="0"/>
              <w:adjustRightInd w:val="0"/>
              <w:spacing w:after="0" w:line="240" w:lineRule="auto"/>
              <w:jc w:val="right"/>
              <w:rPr>
                <w:rFonts w:ascii="Times New Roman" w:hAnsi="Times New Roman" w:cs="Times New Roman"/>
                <w:sz w:val="20"/>
                <w:szCs w:val="20"/>
              </w:rPr>
            </w:pPr>
          </w:p>
        </w:tc>
        <w:tc>
          <w:tcPr>
            <w:tcW w:w="592" w:type="pct"/>
            <w:tcBorders>
              <w:top w:val="single" w:sz="2" w:space="0" w:color="000000"/>
            </w:tcBorders>
            <w:vAlign w:val="center"/>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Mean</w:t>
            </w:r>
          </w:p>
        </w:tc>
        <w:tc>
          <w:tcPr>
            <w:tcW w:w="790" w:type="pct"/>
            <w:tcBorders>
              <w:top w:val="single" w:sz="2" w:space="0" w:color="000000"/>
            </w:tcBorders>
            <w:vAlign w:val="center"/>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Standard Deviation</w:t>
            </w:r>
          </w:p>
        </w:tc>
        <w:tc>
          <w:tcPr>
            <w:tcW w:w="888" w:type="pct"/>
            <w:tcBorders>
              <w:top w:val="single" w:sz="2" w:space="0" w:color="000000"/>
            </w:tcBorders>
            <w:vAlign w:val="center"/>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25th Percentile</w:t>
            </w:r>
          </w:p>
        </w:tc>
        <w:tc>
          <w:tcPr>
            <w:tcW w:w="839" w:type="pct"/>
            <w:tcBorders>
              <w:top w:val="single" w:sz="2" w:space="0" w:color="000000"/>
            </w:tcBorders>
            <w:vAlign w:val="center"/>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Median</w:t>
            </w:r>
          </w:p>
        </w:tc>
        <w:tc>
          <w:tcPr>
            <w:tcW w:w="787" w:type="pct"/>
            <w:tcBorders>
              <w:top w:val="single" w:sz="2" w:space="0" w:color="000000"/>
            </w:tcBorders>
            <w:vAlign w:val="center"/>
          </w:tcPr>
          <w:p w:rsidR="00681942" w:rsidRPr="009E44F5" w:rsidRDefault="00681942"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75th Percentile</w:t>
            </w:r>
          </w:p>
        </w:tc>
      </w:tr>
      <w:tr w:rsidR="009E44F5" w:rsidRPr="009E44F5" w:rsidTr="008B226F">
        <w:trPr>
          <w:cantSplit/>
          <w:trHeight w:val="144"/>
          <w:jc w:val="center"/>
        </w:trPr>
        <w:tc>
          <w:tcPr>
            <w:tcW w:w="1104" w:type="pct"/>
            <w:tcBorders>
              <w:top w:val="single" w:sz="2" w:space="0" w:color="000000"/>
            </w:tcBorders>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Delta</w:t>
            </w:r>
          </w:p>
        </w:tc>
        <w:tc>
          <w:tcPr>
            <w:tcW w:w="592" w:type="pct"/>
            <w:tcBorders>
              <w:top w:val="single" w:sz="2" w:space="0" w:color="000000"/>
            </w:tcBorders>
          </w:tcPr>
          <w:p w:rsidR="00681942" w:rsidRPr="009E44F5" w:rsidRDefault="00087D0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402</w:t>
            </w:r>
            <w:r w:rsidR="00681942" w:rsidRPr="009E44F5">
              <w:rPr>
                <w:rFonts w:ascii="Times New Roman" w:hAnsi="Times New Roman" w:cs="Times New Roman"/>
                <w:sz w:val="20"/>
                <w:szCs w:val="20"/>
              </w:rPr>
              <w:t>.608</w:t>
            </w:r>
          </w:p>
        </w:tc>
        <w:tc>
          <w:tcPr>
            <w:tcW w:w="790" w:type="pct"/>
            <w:tcBorders>
              <w:top w:val="single" w:sz="2" w:space="0" w:color="000000"/>
            </w:tcBorders>
          </w:tcPr>
          <w:p w:rsidR="00681942" w:rsidRPr="009E44F5" w:rsidRDefault="00087D0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670</w:t>
            </w:r>
            <w:r w:rsidR="00681942" w:rsidRPr="009E44F5">
              <w:rPr>
                <w:rFonts w:ascii="Times New Roman" w:hAnsi="Times New Roman" w:cs="Times New Roman"/>
                <w:sz w:val="20"/>
                <w:szCs w:val="20"/>
              </w:rPr>
              <w:t>.809</w:t>
            </w:r>
          </w:p>
        </w:tc>
        <w:tc>
          <w:tcPr>
            <w:tcW w:w="888" w:type="pct"/>
            <w:tcBorders>
              <w:top w:val="single" w:sz="2" w:space="0" w:color="000000"/>
            </w:tcBorders>
          </w:tcPr>
          <w:p w:rsidR="00681942" w:rsidRPr="009E44F5" w:rsidRDefault="00087D0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59</w:t>
            </w:r>
            <w:r w:rsidR="00681942" w:rsidRPr="009E44F5">
              <w:rPr>
                <w:rFonts w:ascii="Times New Roman" w:hAnsi="Times New Roman" w:cs="Times New Roman"/>
                <w:sz w:val="20"/>
                <w:szCs w:val="20"/>
              </w:rPr>
              <w:t>.</w:t>
            </w:r>
            <w:r w:rsidRPr="009E44F5">
              <w:rPr>
                <w:rFonts w:ascii="Times New Roman" w:hAnsi="Times New Roman" w:cs="Times New Roman"/>
                <w:sz w:val="20"/>
                <w:szCs w:val="20"/>
              </w:rPr>
              <w:t>313</w:t>
            </w:r>
          </w:p>
        </w:tc>
        <w:tc>
          <w:tcPr>
            <w:tcW w:w="839" w:type="pct"/>
            <w:tcBorders>
              <w:top w:val="single" w:sz="2" w:space="0" w:color="000000"/>
            </w:tcBorders>
          </w:tcPr>
          <w:p w:rsidR="00681942" w:rsidRPr="009E44F5" w:rsidRDefault="00087D0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168</w:t>
            </w:r>
            <w:r w:rsidR="00681942" w:rsidRPr="009E44F5">
              <w:rPr>
                <w:rFonts w:ascii="Times New Roman" w:hAnsi="Times New Roman" w:cs="Times New Roman"/>
                <w:sz w:val="20"/>
                <w:szCs w:val="20"/>
              </w:rPr>
              <w:t>.710</w:t>
            </w:r>
          </w:p>
        </w:tc>
        <w:tc>
          <w:tcPr>
            <w:tcW w:w="787" w:type="pct"/>
            <w:tcBorders>
              <w:top w:val="single" w:sz="2" w:space="0" w:color="000000"/>
            </w:tcBorders>
          </w:tcPr>
          <w:p w:rsidR="00681942" w:rsidRPr="009E44F5" w:rsidRDefault="00087D0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598.309</w:t>
            </w:r>
          </w:p>
        </w:tc>
      </w:tr>
      <w:tr w:rsidR="009E44F5" w:rsidRPr="009E44F5" w:rsidTr="008B226F">
        <w:trPr>
          <w:cantSplit/>
          <w:trHeight w:val="144"/>
          <w:jc w:val="center"/>
        </w:trPr>
        <w:tc>
          <w:tcPr>
            <w:tcW w:w="1104" w:type="pct"/>
            <w:tcBorders>
              <w:top w:val="nil"/>
            </w:tcBorders>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Vega</w:t>
            </w:r>
          </w:p>
        </w:tc>
        <w:tc>
          <w:tcPr>
            <w:tcW w:w="592" w:type="pct"/>
            <w:tcBorders>
              <w:top w:val="nil"/>
            </w:tcBorders>
          </w:tcPr>
          <w:p w:rsidR="00681942" w:rsidRPr="009E44F5" w:rsidRDefault="00087D0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110.693</w:t>
            </w:r>
          </w:p>
        </w:tc>
        <w:tc>
          <w:tcPr>
            <w:tcW w:w="790" w:type="pct"/>
            <w:tcBorders>
              <w:top w:val="nil"/>
            </w:tcBorders>
          </w:tcPr>
          <w:p w:rsidR="00681942" w:rsidRPr="009E44F5" w:rsidRDefault="00087D0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274</w:t>
            </w:r>
            <w:r w:rsidR="00681942" w:rsidRPr="009E44F5">
              <w:rPr>
                <w:rFonts w:ascii="Times New Roman" w:hAnsi="Times New Roman" w:cs="Times New Roman"/>
                <w:sz w:val="20"/>
                <w:szCs w:val="20"/>
              </w:rPr>
              <w:t>.185</w:t>
            </w:r>
          </w:p>
        </w:tc>
        <w:tc>
          <w:tcPr>
            <w:tcW w:w="888" w:type="pct"/>
            <w:tcBorders>
              <w:top w:val="nil"/>
            </w:tcBorders>
          </w:tcPr>
          <w:p w:rsidR="00681942" w:rsidRPr="009E44F5" w:rsidRDefault="00087D0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w:t>
            </w:r>
            <w:r w:rsidR="00681942" w:rsidRPr="009E44F5">
              <w:rPr>
                <w:rFonts w:ascii="Times New Roman" w:hAnsi="Times New Roman" w:cs="Times New Roman"/>
                <w:sz w:val="20"/>
                <w:szCs w:val="20"/>
              </w:rPr>
              <w:t>.</w:t>
            </w:r>
            <w:r w:rsidRPr="009E44F5">
              <w:rPr>
                <w:rFonts w:ascii="Times New Roman" w:hAnsi="Times New Roman" w:cs="Times New Roman"/>
                <w:sz w:val="20"/>
                <w:szCs w:val="20"/>
              </w:rPr>
              <w:t>013</w:t>
            </w:r>
          </w:p>
        </w:tc>
        <w:tc>
          <w:tcPr>
            <w:tcW w:w="839" w:type="pct"/>
            <w:tcBorders>
              <w:top w:val="nil"/>
            </w:tcBorders>
          </w:tcPr>
          <w:p w:rsidR="00681942" w:rsidRPr="009E44F5" w:rsidRDefault="00087D0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55.02</w:t>
            </w:r>
            <w:r w:rsidR="00681942" w:rsidRPr="009E44F5">
              <w:rPr>
                <w:rFonts w:ascii="Times New Roman" w:hAnsi="Times New Roman" w:cs="Times New Roman"/>
                <w:sz w:val="20"/>
                <w:szCs w:val="20"/>
              </w:rPr>
              <w:t>5</w:t>
            </w:r>
          </w:p>
        </w:tc>
        <w:tc>
          <w:tcPr>
            <w:tcW w:w="787" w:type="pct"/>
            <w:tcBorders>
              <w:top w:val="nil"/>
            </w:tcBorders>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152.363</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Total Pay</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w:t>
            </w:r>
            <w:r w:rsidR="00552458">
              <w:rPr>
                <w:rFonts w:ascii="Times New Roman" w:hAnsi="Times New Roman" w:cs="Times New Roman"/>
                <w:sz w:val="20"/>
                <w:szCs w:val="20"/>
              </w:rPr>
              <w:t>,</w:t>
            </w:r>
            <w:r w:rsidRPr="009E44F5">
              <w:rPr>
                <w:rFonts w:ascii="Times New Roman" w:hAnsi="Times New Roman" w:cs="Times New Roman"/>
                <w:sz w:val="20"/>
                <w:szCs w:val="20"/>
              </w:rPr>
              <w:t>551.222</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13</w:t>
            </w:r>
            <w:r w:rsidR="00552458">
              <w:rPr>
                <w:rFonts w:ascii="Times New Roman" w:hAnsi="Times New Roman" w:cs="Times New Roman"/>
                <w:sz w:val="20"/>
                <w:szCs w:val="20"/>
              </w:rPr>
              <w:t>,</w:t>
            </w:r>
            <w:r w:rsidRPr="009E44F5">
              <w:rPr>
                <w:rFonts w:ascii="Times New Roman" w:hAnsi="Times New Roman" w:cs="Times New Roman"/>
                <w:sz w:val="20"/>
                <w:szCs w:val="20"/>
              </w:rPr>
              <w:t>107.54</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1539</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w:t>
            </w:r>
            <w:r w:rsidR="00552458">
              <w:rPr>
                <w:rFonts w:ascii="Times New Roman" w:hAnsi="Times New Roman" w:cs="Times New Roman"/>
                <w:sz w:val="20"/>
                <w:szCs w:val="20"/>
              </w:rPr>
              <w:t>,</w:t>
            </w:r>
            <w:r w:rsidRPr="009E44F5">
              <w:rPr>
                <w:rFonts w:ascii="Times New Roman" w:hAnsi="Times New Roman" w:cs="Times New Roman"/>
                <w:sz w:val="20"/>
                <w:szCs w:val="20"/>
              </w:rPr>
              <w:t>650.94</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6</w:t>
            </w:r>
            <w:r w:rsidR="00552458">
              <w:rPr>
                <w:rFonts w:ascii="Times New Roman" w:hAnsi="Times New Roman" w:cs="Times New Roman"/>
                <w:sz w:val="20"/>
                <w:szCs w:val="20"/>
              </w:rPr>
              <w:t>,</w:t>
            </w:r>
            <w:r w:rsidRPr="009E44F5">
              <w:rPr>
                <w:rFonts w:ascii="Times New Roman" w:hAnsi="Times New Roman" w:cs="Times New Roman"/>
                <w:sz w:val="20"/>
                <w:szCs w:val="20"/>
              </w:rPr>
              <w:t>809.03</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Option Pay</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r w:rsidR="00552458">
              <w:rPr>
                <w:rFonts w:ascii="Times New Roman" w:hAnsi="Times New Roman" w:cs="Times New Roman"/>
                <w:sz w:val="20"/>
                <w:szCs w:val="20"/>
              </w:rPr>
              <w:t>,</w:t>
            </w:r>
            <w:r w:rsidRPr="009E44F5">
              <w:rPr>
                <w:rFonts w:ascii="Times New Roman" w:hAnsi="Times New Roman" w:cs="Times New Roman"/>
                <w:sz w:val="20"/>
                <w:szCs w:val="20"/>
              </w:rPr>
              <w:t>752.464</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5405.1</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305.8505</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r w:rsidR="00552458">
              <w:rPr>
                <w:rFonts w:ascii="Times New Roman" w:hAnsi="Times New Roman" w:cs="Times New Roman"/>
                <w:sz w:val="20"/>
                <w:szCs w:val="20"/>
              </w:rPr>
              <w:t>,</w:t>
            </w:r>
            <w:r w:rsidRPr="009E44F5">
              <w:rPr>
                <w:rFonts w:ascii="Times New Roman" w:hAnsi="Times New Roman" w:cs="Times New Roman"/>
                <w:sz w:val="20"/>
                <w:szCs w:val="20"/>
              </w:rPr>
              <w:t>384.905</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Stock Pay</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w:t>
            </w:r>
            <w:r w:rsidR="00552458">
              <w:rPr>
                <w:rFonts w:ascii="Times New Roman" w:hAnsi="Times New Roman" w:cs="Times New Roman"/>
                <w:sz w:val="20"/>
                <w:szCs w:val="20"/>
              </w:rPr>
              <w:t>,</w:t>
            </w:r>
            <w:r w:rsidRPr="009E44F5">
              <w:rPr>
                <w:rFonts w:ascii="Times New Roman" w:hAnsi="Times New Roman" w:cs="Times New Roman"/>
                <w:sz w:val="20"/>
                <w:szCs w:val="20"/>
              </w:rPr>
              <w:t>629.691</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5</w:t>
            </w:r>
            <w:r w:rsidR="00552458">
              <w:rPr>
                <w:rFonts w:ascii="Times New Roman" w:hAnsi="Times New Roman" w:cs="Times New Roman"/>
                <w:sz w:val="20"/>
                <w:szCs w:val="20"/>
              </w:rPr>
              <w:t>,</w:t>
            </w:r>
            <w:r w:rsidRPr="009E44F5">
              <w:rPr>
                <w:rFonts w:ascii="Times New Roman" w:hAnsi="Times New Roman" w:cs="Times New Roman"/>
                <w:sz w:val="20"/>
                <w:szCs w:val="20"/>
              </w:rPr>
              <w:t>605.117</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791</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2100</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Equity Pay</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5</w:t>
            </w:r>
            <w:r w:rsidR="00552458">
              <w:rPr>
                <w:rFonts w:ascii="Times New Roman" w:hAnsi="Times New Roman" w:cs="Times New Roman"/>
                <w:sz w:val="20"/>
                <w:szCs w:val="20"/>
              </w:rPr>
              <w:t>,</w:t>
            </w:r>
            <w:r w:rsidRPr="009E44F5">
              <w:rPr>
                <w:rFonts w:ascii="Times New Roman" w:hAnsi="Times New Roman" w:cs="Times New Roman"/>
                <w:sz w:val="20"/>
                <w:szCs w:val="20"/>
              </w:rPr>
              <w:t>075.47</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10</w:t>
            </w:r>
            <w:r w:rsidR="00552458">
              <w:rPr>
                <w:rFonts w:ascii="Times New Roman" w:hAnsi="Times New Roman" w:cs="Times New Roman"/>
                <w:sz w:val="20"/>
                <w:szCs w:val="20"/>
              </w:rPr>
              <w:t>,</w:t>
            </w:r>
            <w:r w:rsidRPr="009E44F5">
              <w:rPr>
                <w:rFonts w:ascii="Times New Roman" w:hAnsi="Times New Roman" w:cs="Times New Roman"/>
                <w:sz w:val="20"/>
                <w:szCs w:val="20"/>
              </w:rPr>
              <w:t>751.74</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672.787</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w:t>
            </w:r>
            <w:r w:rsidR="00552458">
              <w:rPr>
                <w:rFonts w:ascii="Times New Roman" w:hAnsi="Times New Roman" w:cs="Times New Roman"/>
                <w:sz w:val="20"/>
                <w:szCs w:val="20"/>
              </w:rPr>
              <w:t>,</w:t>
            </w:r>
            <w:r w:rsidRPr="009E44F5">
              <w:rPr>
                <w:rFonts w:ascii="Times New Roman" w:hAnsi="Times New Roman" w:cs="Times New Roman"/>
                <w:sz w:val="20"/>
                <w:szCs w:val="20"/>
              </w:rPr>
              <w:t>122.28</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w:t>
            </w:r>
            <w:r w:rsidR="00552458">
              <w:rPr>
                <w:rFonts w:ascii="Times New Roman" w:hAnsi="Times New Roman" w:cs="Times New Roman"/>
                <w:sz w:val="20"/>
                <w:szCs w:val="20"/>
              </w:rPr>
              <w:t>,</w:t>
            </w:r>
            <w:r w:rsidRPr="009E44F5">
              <w:rPr>
                <w:rFonts w:ascii="Times New Roman" w:hAnsi="Times New Roman" w:cs="Times New Roman"/>
                <w:sz w:val="20"/>
                <w:szCs w:val="20"/>
              </w:rPr>
              <w:t>825.344</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Cash Pay</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w:t>
            </w:r>
            <w:r w:rsidR="00552458">
              <w:rPr>
                <w:rFonts w:ascii="Times New Roman" w:hAnsi="Times New Roman" w:cs="Times New Roman"/>
                <w:sz w:val="20"/>
                <w:szCs w:val="20"/>
              </w:rPr>
              <w:t>,</w:t>
            </w:r>
            <w:r w:rsidRPr="009E44F5">
              <w:rPr>
                <w:rFonts w:ascii="Times New Roman" w:hAnsi="Times New Roman" w:cs="Times New Roman"/>
                <w:sz w:val="20"/>
                <w:szCs w:val="20"/>
              </w:rPr>
              <w:t>153.839</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w:t>
            </w:r>
            <w:r w:rsidR="00552458">
              <w:rPr>
                <w:rFonts w:ascii="Times New Roman" w:hAnsi="Times New Roman" w:cs="Times New Roman"/>
                <w:sz w:val="20"/>
                <w:szCs w:val="20"/>
              </w:rPr>
              <w:t>,</w:t>
            </w:r>
            <w:r w:rsidRPr="009E44F5">
              <w:rPr>
                <w:rFonts w:ascii="Times New Roman" w:hAnsi="Times New Roman" w:cs="Times New Roman"/>
                <w:sz w:val="20"/>
                <w:szCs w:val="20"/>
              </w:rPr>
              <w:t>277.482</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600</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r w:rsidR="00552458">
              <w:rPr>
                <w:rFonts w:ascii="Times New Roman" w:hAnsi="Times New Roman" w:cs="Times New Roman"/>
                <w:sz w:val="20"/>
                <w:szCs w:val="20"/>
              </w:rPr>
              <w:t>,</w:t>
            </w:r>
            <w:r w:rsidRPr="009E44F5">
              <w:rPr>
                <w:rFonts w:ascii="Times New Roman" w:hAnsi="Times New Roman" w:cs="Times New Roman"/>
                <w:sz w:val="20"/>
                <w:szCs w:val="20"/>
              </w:rPr>
              <w:t>265.83</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2275</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Option Pay/Total Pay</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0.232</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0.182</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0.149</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0.330</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Stock Pay/Total Pay</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0.348</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0.252</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0.242</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0.455</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Equity Pay/Total Pay</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0.672</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0.240</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0.447</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0.580</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0.793</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Cash Pay</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0.285</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0.240</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0.209</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0.424</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0.556</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Hedge Ratio 1</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0.236</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0.393</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0.011</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0.086</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0.344</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Hedge Ratio 2</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0.022</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0.032</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0.009</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0.030</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Hedge Dummy</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0.821</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0.385</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Size</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7.893</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1.297</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7.001</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7.604</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8.802</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ROA</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0.077</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0.067</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0.046</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0.073</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0.105</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Investment Growth</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0.215</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0.101</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0.146</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0.198</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0.271</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Altman-Z</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2.547</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1.303</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1.604</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2.350</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3.063</w:t>
            </w:r>
          </w:p>
        </w:tc>
      </w:tr>
      <w:tr w:rsidR="009E44F5" w:rsidRPr="009E44F5" w:rsidTr="008B226F">
        <w:trPr>
          <w:cantSplit/>
          <w:trHeight w:val="144"/>
          <w:jc w:val="center"/>
        </w:trPr>
        <w:tc>
          <w:tcPr>
            <w:tcW w:w="1104" w:type="pct"/>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Leverage</w:t>
            </w:r>
          </w:p>
        </w:tc>
        <w:tc>
          <w:tcPr>
            <w:tcW w:w="592" w:type="pct"/>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0.239</w:t>
            </w:r>
          </w:p>
        </w:tc>
        <w:tc>
          <w:tcPr>
            <w:tcW w:w="790" w:type="pct"/>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0.124</w:t>
            </w:r>
          </w:p>
        </w:tc>
        <w:tc>
          <w:tcPr>
            <w:tcW w:w="888"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0.167</w:t>
            </w:r>
          </w:p>
        </w:tc>
        <w:tc>
          <w:tcPr>
            <w:tcW w:w="839"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0.242</w:t>
            </w:r>
          </w:p>
        </w:tc>
        <w:tc>
          <w:tcPr>
            <w:tcW w:w="787" w:type="pct"/>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0.329</w:t>
            </w:r>
          </w:p>
        </w:tc>
      </w:tr>
      <w:tr w:rsidR="009E44F5" w:rsidRPr="009E44F5" w:rsidTr="008B226F">
        <w:trPr>
          <w:cantSplit/>
          <w:trHeight w:val="144"/>
          <w:jc w:val="center"/>
        </w:trPr>
        <w:tc>
          <w:tcPr>
            <w:tcW w:w="1104" w:type="pct"/>
            <w:tcBorders>
              <w:bottom w:val="nil"/>
            </w:tcBorders>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Dividend</w:t>
            </w:r>
          </w:p>
        </w:tc>
        <w:tc>
          <w:tcPr>
            <w:tcW w:w="592" w:type="pct"/>
            <w:tcBorders>
              <w:bottom w:val="nil"/>
            </w:tcBorders>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0.546</w:t>
            </w:r>
          </w:p>
        </w:tc>
        <w:tc>
          <w:tcPr>
            <w:tcW w:w="790" w:type="pct"/>
            <w:tcBorders>
              <w:bottom w:val="nil"/>
            </w:tcBorders>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0.499</w:t>
            </w:r>
          </w:p>
        </w:tc>
        <w:tc>
          <w:tcPr>
            <w:tcW w:w="888" w:type="pct"/>
            <w:tcBorders>
              <w:bottom w:val="nil"/>
            </w:tcBorders>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w:t>
            </w:r>
          </w:p>
        </w:tc>
        <w:tc>
          <w:tcPr>
            <w:tcW w:w="839" w:type="pct"/>
            <w:tcBorders>
              <w:bottom w:val="nil"/>
            </w:tcBorders>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p>
        </w:tc>
        <w:tc>
          <w:tcPr>
            <w:tcW w:w="787" w:type="pct"/>
            <w:tcBorders>
              <w:bottom w:val="nil"/>
            </w:tcBorders>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p>
        </w:tc>
      </w:tr>
      <w:tr w:rsidR="009E44F5" w:rsidRPr="009E44F5" w:rsidTr="008B226F">
        <w:trPr>
          <w:cantSplit/>
          <w:trHeight w:val="144"/>
          <w:jc w:val="center"/>
        </w:trPr>
        <w:tc>
          <w:tcPr>
            <w:tcW w:w="1104" w:type="pct"/>
            <w:tcBorders>
              <w:top w:val="nil"/>
              <w:bottom w:val="single" w:sz="4" w:space="0" w:color="auto"/>
            </w:tcBorders>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Cash</w:t>
            </w:r>
          </w:p>
        </w:tc>
        <w:tc>
          <w:tcPr>
            <w:tcW w:w="592" w:type="pct"/>
            <w:tcBorders>
              <w:top w:val="nil"/>
              <w:bottom w:val="single" w:sz="4" w:space="0" w:color="auto"/>
            </w:tcBorders>
          </w:tcPr>
          <w:p w:rsidR="00681942" w:rsidRPr="009E44F5" w:rsidRDefault="00681942"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0.046</w:t>
            </w:r>
          </w:p>
        </w:tc>
        <w:tc>
          <w:tcPr>
            <w:tcW w:w="790" w:type="pct"/>
            <w:tcBorders>
              <w:top w:val="nil"/>
              <w:bottom w:val="single" w:sz="4" w:space="0" w:color="auto"/>
            </w:tcBorders>
          </w:tcPr>
          <w:p w:rsidR="00681942" w:rsidRPr="009E44F5" w:rsidRDefault="00681942"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0.085</w:t>
            </w:r>
          </w:p>
        </w:tc>
        <w:tc>
          <w:tcPr>
            <w:tcW w:w="888" w:type="pct"/>
            <w:tcBorders>
              <w:top w:val="nil"/>
              <w:bottom w:val="single" w:sz="4" w:space="0" w:color="auto"/>
            </w:tcBorders>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0.003</w:t>
            </w:r>
          </w:p>
        </w:tc>
        <w:tc>
          <w:tcPr>
            <w:tcW w:w="839" w:type="pct"/>
            <w:tcBorders>
              <w:top w:val="nil"/>
              <w:bottom w:val="single" w:sz="4" w:space="0" w:color="auto"/>
            </w:tcBorders>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0.012</w:t>
            </w:r>
          </w:p>
        </w:tc>
        <w:tc>
          <w:tcPr>
            <w:tcW w:w="787" w:type="pct"/>
            <w:tcBorders>
              <w:top w:val="nil"/>
              <w:bottom w:val="single" w:sz="4" w:space="0" w:color="auto"/>
            </w:tcBorders>
          </w:tcPr>
          <w:p w:rsidR="00681942" w:rsidRPr="009E44F5" w:rsidRDefault="00681942"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0.049</w:t>
            </w:r>
          </w:p>
        </w:tc>
      </w:tr>
    </w:tbl>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p>
    <w:p w:rsidR="00B87971" w:rsidRPr="009E44F5" w:rsidRDefault="00B87971" w:rsidP="00B87971">
      <w:pPr>
        <w:tabs>
          <w:tab w:val="left" w:pos="1134"/>
          <w:tab w:val="left" w:pos="3402"/>
          <w:tab w:val="left" w:pos="4111"/>
        </w:tabs>
        <w:spacing w:after="0" w:line="240" w:lineRule="auto"/>
        <w:jc w:val="center"/>
        <w:rPr>
          <w:rFonts w:ascii="Times New Roman" w:eastAsia="Times New Roman" w:hAnsi="Times New Roman" w:cs="Times New Roman"/>
          <w:b/>
          <w:sz w:val="24"/>
          <w:szCs w:val="24"/>
        </w:rPr>
      </w:pPr>
      <w:r w:rsidRPr="009E44F5">
        <w:rPr>
          <w:rFonts w:ascii="Times New Roman" w:eastAsia="Times New Roman" w:hAnsi="Times New Roman" w:cs="Times New Roman"/>
          <w:b/>
          <w:sz w:val="24"/>
          <w:szCs w:val="24"/>
        </w:rPr>
        <w:lastRenderedPageBreak/>
        <w:t>Table 1</w:t>
      </w:r>
      <w:r>
        <w:rPr>
          <w:rFonts w:ascii="Times New Roman" w:eastAsia="Times New Roman" w:hAnsi="Times New Roman" w:cs="Times New Roman"/>
          <w:b/>
          <w:sz w:val="24"/>
          <w:szCs w:val="24"/>
        </w:rPr>
        <w:t xml:space="preserve"> -- </w:t>
      </w:r>
      <w:r w:rsidRPr="00B87971">
        <w:rPr>
          <w:rFonts w:ascii="Times New Roman" w:eastAsia="Times New Roman" w:hAnsi="Times New Roman" w:cs="Times New Roman"/>
          <w:b/>
          <w:i/>
          <w:sz w:val="24"/>
          <w:szCs w:val="24"/>
        </w:rPr>
        <w:t>continued</w:t>
      </w:r>
    </w:p>
    <w:tbl>
      <w:tblPr>
        <w:tblW w:w="5003" w:type="pct"/>
        <w:jc w:val="center"/>
        <w:tblInd w:w="1" w:type="dxa"/>
        <w:tblLook w:val="0000"/>
      </w:tblPr>
      <w:tblGrid>
        <w:gridCol w:w="2410"/>
        <w:gridCol w:w="1016"/>
        <w:gridCol w:w="1190"/>
        <w:gridCol w:w="1077"/>
        <w:gridCol w:w="1035"/>
        <w:gridCol w:w="1771"/>
        <w:gridCol w:w="1083"/>
      </w:tblGrid>
      <w:tr w:rsidR="009E44F5" w:rsidRPr="009E44F5" w:rsidTr="00405A24">
        <w:trPr>
          <w:trHeight w:val="290"/>
          <w:jc w:val="center"/>
        </w:trPr>
        <w:tc>
          <w:tcPr>
            <w:tcW w:w="2971" w:type="pct"/>
            <w:gridSpan w:val="4"/>
          </w:tcPr>
          <w:p w:rsidR="00B87971" w:rsidRDefault="00034653" w:rsidP="00405A24">
            <w:pPr>
              <w:autoSpaceDE w:val="0"/>
              <w:autoSpaceDN w:val="0"/>
              <w:adjustRightInd w:val="0"/>
              <w:spacing w:after="0" w:line="240" w:lineRule="auto"/>
              <w:rPr>
                <w:rFonts w:ascii="Times New Roman" w:hAnsi="Times New Roman" w:cs="Times New Roman"/>
                <w:b/>
                <w:sz w:val="20"/>
                <w:szCs w:val="20"/>
              </w:rPr>
            </w:pPr>
            <w:r w:rsidRPr="009E44F5">
              <w:rPr>
                <w:rFonts w:ascii="Times New Roman" w:hAnsi="Times New Roman" w:cs="Times New Roman"/>
              </w:rPr>
              <w:br w:type="page"/>
            </w:r>
          </w:p>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b/>
                <w:sz w:val="20"/>
                <w:szCs w:val="20"/>
              </w:rPr>
              <w:t>Panel B: Pre- and post- periods</w:t>
            </w:r>
          </w:p>
        </w:tc>
        <w:tc>
          <w:tcPr>
            <w:tcW w:w="2029" w:type="pct"/>
            <w:gridSpan w:val="3"/>
          </w:tcPr>
          <w:p w:rsidR="00B231E9" w:rsidRPr="009E44F5" w:rsidRDefault="00B231E9" w:rsidP="00405A24">
            <w:pPr>
              <w:autoSpaceDE w:val="0"/>
              <w:autoSpaceDN w:val="0"/>
              <w:adjustRightInd w:val="0"/>
              <w:spacing w:after="0" w:line="240" w:lineRule="auto"/>
              <w:jc w:val="center"/>
              <w:rPr>
                <w:rFonts w:ascii="Times New Roman" w:hAnsi="Times New Roman" w:cs="Times New Roman"/>
                <w:sz w:val="20"/>
                <w:szCs w:val="20"/>
              </w:rPr>
            </w:pPr>
          </w:p>
        </w:tc>
      </w:tr>
      <w:tr w:rsidR="009E44F5" w:rsidRPr="009E44F5" w:rsidTr="00405A24">
        <w:trPr>
          <w:trHeight w:val="290"/>
          <w:jc w:val="center"/>
        </w:trPr>
        <w:tc>
          <w:tcPr>
            <w:tcW w:w="1258" w:type="pct"/>
            <w:tcBorders>
              <w:top w:val="single" w:sz="2" w:space="0" w:color="000000"/>
            </w:tcBorders>
          </w:tcPr>
          <w:p w:rsidR="00B231E9" w:rsidRPr="009E44F5" w:rsidRDefault="00B231E9" w:rsidP="00405A24">
            <w:pPr>
              <w:autoSpaceDE w:val="0"/>
              <w:autoSpaceDN w:val="0"/>
              <w:adjustRightInd w:val="0"/>
              <w:spacing w:after="0" w:line="240" w:lineRule="auto"/>
              <w:jc w:val="right"/>
              <w:rPr>
                <w:rFonts w:ascii="Times New Roman" w:hAnsi="Times New Roman" w:cs="Times New Roman"/>
                <w:sz w:val="20"/>
                <w:szCs w:val="20"/>
              </w:rPr>
            </w:pPr>
          </w:p>
        </w:tc>
        <w:tc>
          <w:tcPr>
            <w:tcW w:w="1713" w:type="pct"/>
            <w:gridSpan w:val="3"/>
            <w:tcBorders>
              <w:top w:val="single" w:sz="2" w:space="0" w:color="000000"/>
            </w:tcBorders>
          </w:tcPr>
          <w:p w:rsidR="00B231E9" w:rsidRPr="009E44F5" w:rsidRDefault="00B231E9" w:rsidP="00405A24">
            <w:pPr>
              <w:autoSpaceDE w:val="0"/>
              <w:autoSpaceDN w:val="0"/>
              <w:adjustRightInd w:val="0"/>
              <w:spacing w:after="0" w:line="240" w:lineRule="auto"/>
              <w:jc w:val="center"/>
              <w:rPr>
                <w:rFonts w:ascii="Times New Roman" w:hAnsi="Times New Roman" w:cs="Times New Roman"/>
                <w:sz w:val="20"/>
                <w:szCs w:val="20"/>
                <w:u w:val="single"/>
              </w:rPr>
            </w:pPr>
            <w:r w:rsidRPr="009E44F5">
              <w:rPr>
                <w:rFonts w:ascii="Times New Roman" w:hAnsi="Times New Roman" w:cs="Times New Roman"/>
                <w:sz w:val="20"/>
                <w:szCs w:val="20"/>
                <w:u w:val="single"/>
              </w:rPr>
              <w:t>Pre-FAS 123R (2003-2004)</w:t>
            </w:r>
          </w:p>
        </w:tc>
        <w:tc>
          <w:tcPr>
            <w:tcW w:w="2029" w:type="pct"/>
            <w:gridSpan w:val="3"/>
            <w:tcBorders>
              <w:top w:val="single" w:sz="2" w:space="0" w:color="000000"/>
            </w:tcBorders>
          </w:tcPr>
          <w:p w:rsidR="00B231E9" w:rsidRPr="009E44F5" w:rsidRDefault="00B231E9" w:rsidP="00405A24">
            <w:pPr>
              <w:autoSpaceDE w:val="0"/>
              <w:autoSpaceDN w:val="0"/>
              <w:adjustRightInd w:val="0"/>
              <w:spacing w:after="0" w:line="240" w:lineRule="auto"/>
              <w:jc w:val="center"/>
              <w:rPr>
                <w:rFonts w:ascii="Times New Roman" w:hAnsi="Times New Roman" w:cs="Times New Roman"/>
                <w:u w:val="single"/>
              </w:rPr>
            </w:pPr>
            <w:r w:rsidRPr="009E44F5">
              <w:rPr>
                <w:rFonts w:ascii="Times New Roman" w:hAnsi="Times New Roman" w:cs="Times New Roman"/>
                <w:sz w:val="20"/>
                <w:szCs w:val="20"/>
                <w:u w:val="single"/>
              </w:rPr>
              <w:t>Post-FAS 123R (2005-2006)</w:t>
            </w:r>
          </w:p>
        </w:tc>
      </w:tr>
      <w:tr w:rsidR="009E44F5" w:rsidRPr="009E44F5" w:rsidTr="00B87971">
        <w:trPr>
          <w:trHeight w:val="290"/>
          <w:jc w:val="center"/>
        </w:trPr>
        <w:tc>
          <w:tcPr>
            <w:tcW w:w="1258" w:type="pct"/>
            <w:tcBorders>
              <w:bottom w:val="single" w:sz="2" w:space="0" w:color="000000"/>
            </w:tcBorders>
          </w:tcPr>
          <w:p w:rsidR="00B231E9" w:rsidRPr="009E44F5" w:rsidRDefault="00B231E9" w:rsidP="00405A24">
            <w:pPr>
              <w:autoSpaceDE w:val="0"/>
              <w:autoSpaceDN w:val="0"/>
              <w:adjustRightInd w:val="0"/>
              <w:spacing w:after="0" w:line="240" w:lineRule="auto"/>
              <w:jc w:val="center"/>
              <w:rPr>
                <w:rFonts w:ascii="Times New Roman" w:hAnsi="Times New Roman" w:cs="Times New Roman"/>
                <w:sz w:val="20"/>
                <w:szCs w:val="20"/>
              </w:rPr>
            </w:pPr>
          </w:p>
        </w:tc>
        <w:tc>
          <w:tcPr>
            <w:tcW w:w="530" w:type="pct"/>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Mean</w:t>
            </w:r>
          </w:p>
        </w:tc>
        <w:tc>
          <w:tcPr>
            <w:tcW w:w="621" w:type="pct"/>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Median</w:t>
            </w:r>
          </w:p>
        </w:tc>
        <w:tc>
          <w:tcPr>
            <w:tcW w:w="562" w:type="pct"/>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N</w:t>
            </w:r>
          </w:p>
        </w:tc>
        <w:tc>
          <w:tcPr>
            <w:tcW w:w="540" w:type="pct"/>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Mean</w:t>
            </w:r>
          </w:p>
        </w:tc>
        <w:tc>
          <w:tcPr>
            <w:tcW w:w="924" w:type="pct"/>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Median</w:t>
            </w:r>
          </w:p>
        </w:tc>
        <w:tc>
          <w:tcPr>
            <w:tcW w:w="565" w:type="pct"/>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N</w:t>
            </w:r>
          </w:p>
        </w:tc>
      </w:tr>
      <w:tr w:rsidR="009E44F5" w:rsidRPr="009E44F5" w:rsidTr="00B87971">
        <w:trPr>
          <w:trHeight w:val="290"/>
          <w:jc w:val="center"/>
        </w:trPr>
        <w:tc>
          <w:tcPr>
            <w:tcW w:w="1258" w:type="pct"/>
            <w:tcBorders>
              <w:top w:val="single" w:sz="2" w:space="0" w:color="000000"/>
            </w:tcBorders>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Delta</w:t>
            </w:r>
          </w:p>
        </w:tc>
        <w:tc>
          <w:tcPr>
            <w:tcW w:w="530" w:type="pct"/>
            <w:tcBorders>
              <w:top w:val="single" w:sz="2" w:space="0" w:color="000000"/>
            </w:tcBorders>
          </w:tcPr>
          <w:p w:rsidR="00B231E9" w:rsidRPr="009E44F5" w:rsidRDefault="00B74F45"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349</w:t>
            </w:r>
            <w:r w:rsidR="00B231E9" w:rsidRPr="009E44F5">
              <w:rPr>
                <w:rFonts w:ascii="Times New Roman" w:hAnsi="Times New Roman" w:cs="Times New Roman"/>
                <w:sz w:val="20"/>
                <w:szCs w:val="20"/>
              </w:rPr>
              <w:t>.</w:t>
            </w:r>
            <w:r w:rsidRPr="009E44F5">
              <w:rPr>
                <w:rFonts w:ascii="Times New Roman" w:hAnsi="Times New Roman" w:cs="Times New Roman"/>
                <w:sz w:val="20"/>
                <w:szCs w:val="20"/>
              </w:rPr>
              <w:t>245</w:t>
            </w:r>
          </w:p>
        </w:tc>
        <w:tc>
          <w:tcPr>
            <w:tcW w:w="621" w:type="pct"/>
            <w:tcBorders>
              <w:top w:val="single" w:sz="2" w:space="0" w:color="000000"/>
            </w:tcBorders>
          </w:tcPr>
          <w:p w:rsidR="00B231E9" w:rsidRPr="009E44F5" w:rsidRDefault="00B74F45"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158.16</w:t>
            </w:r>
          </w:p>
        </w:tc>
        <w:tc>
          <w:tcPr>
            <w:tcW w:w="562" w:type="pct"/>
            <w:tcBorders>
              <w:top w:val="single" w:sz="2" w:space="0" w:color="000000"/>
            </w:tcBorders>
          </w:tcPr>
          <w:p w:rsidR="00B231E9" w:rsidRPr="009E44F5" w:rsidRDefault="00B74F45"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Borders>
              <w:top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438.290*</w:t>
            </w:r>
          </w:p>
        </w:tc>
        <w:tc>
          <w:tcPr>
            <w:tcW w:w="924" w:type="pct"/>
            <w:tcBorders>
              <w:top w:val="single" w:sz="2" w:space="0" w:color="000000"/>
            </w:tcBorders>
          </w:tcPr>
          <w:p w:rsidR="00B231E9" w:rsidRPr="009E44F5" w:rsidRDefault="00B74F45"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171.917</w:t>
            </w:r>
            <w:r w:rsidR="00B231E9" w:rsidRPr="009E44F5">
              <w:rPr>
                <w:rFonts w:ascii="Times New Roman" w:hAnsi="Times New Roman" w:cs="Times New Roman"/>
                <w:sz w:val="20"/>
                <w:szCs w:val="20"/>
              </w:rPr>
              <w:t>*</w:t>
            </w:r>
          </w:p>
        </w:tc>
        <w:tc>
          <w:tcPr>
            <w:tcW w:w="565" w:type="pct"/>
            <w:tcBorders>
              <w:top w:val="single" w:sz="2" w:space="0" w:color="000000"/>
            </w:tcBorders>
          </w:tcPr>
          <w:p w:rsidR="00B231E9" w:rsidRPr="009E44F5" w:rsidRDefault="00B74F45"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Vega</w:t>
            </w:r>
          </w:p>
        </w:tc>
        <w:tc>
          <w:tcPr>
            <w:tcW w:w="530" w:type="pct"/>
          </w:tcPr>
          <w:p w:rsidR="00B231E9" w:rsidRPr="009E44F5" w:rsidRDefault="00711B3E"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125.183</w:t>
            </w:r>
          </w:p>
        </w:tc>
        <w:tc>
          <w:tcPr>
            <w:tcW w:w="621"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w:t>
            </w:r>
            <w:r w:rsidR="00711B3E" w:rsidRPr="009E44F5">
              <w:rPr>
                <w:rFonts w:ascii="Times New Roman" w:hAnsi="Times New Roman" w:cs="Times New Roman"/>
                <w:sz w:val="20"/>
                <w:szCs w:val="20"/>
              </w:rPr>
              <w:t>4.271</w:t>
            </w:r>
          </w:p>
        </w:tc>
        <w:tc>
          <w:tcPr>
            <w:tcW w:w="562"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9</w:t>
            </w:r>
            <w:r w:rsidR="00711B3E" w:rsidRPr="009E44F5">
              <w:rPr>
                <w:rFonts w:ascii="Times New Roman" w:hAnsi="Times New Roman" w:cs="Times New Roman"/>
                <w:sz w:val="20"/>
                <w:szCs w:val="20"/>
              </w:rPr>
              <w:t>2.292</w:t>
            </w:r>
            <w:r w:rsidRPr="009E44F5">
              <w:rPr>
                <w:rFonts w:ascii="Times New Roman" w:hAnsi="Times New Roman" w:cs="Times New Roman"/>
                <w:sz w:val="20"/>
                <w:szCs w:val="20"/>
              </w:rPr>
              <w:t>*</w:t>
            </w:r>
          </w:p>
        </w:tc>
        <w:tc>
          <w:tcPr>
            <w:tcW w:w="924" w:type="pct"/>
          </w:tcPr>
          <w:p w:rsidR="00B231E9" w:rsidRPr="009E44F5" w:rsidRDefault="00711B3E"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45.224</w:t>
            </w:r>
            <w:r w:rsidR="00B231E9" w:rsidRPr="009E44F5">
              <w:rPr>
                <w:rFonts w:ascii="Times New Roman" w:hAnsi="Times New Roman" w:cs="Times New Roman"/>
                <w:sz w:val="20"/>
                <w:szCs w:val="20"/>
              </w:rPr>
              <w:t>*</w:t>
            </w:r>
          </w:p>
        </w:tc>
        <w:tc>
          <w:tcPr>
            <w:tcW w:w="565" w:type="pct"/>
          </w:tcPr>
          <w:p w:rsidR="00B231E9" w:rsidRPr="009E44F5" w:rsidRDefault="00711B3E"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Option Pay/Total Pay</w:t>
            </w:r>
          </w:p>
        </w:tc>
        <w:tc>
          <w:tcPr>
            <w:tcW w:w="53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0.294</w:t>
            </w:r>
          </w:p>
        </w:tc>
        <w:tc>
          <w:tcPr>
            <w:tcW w:w="621"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0.206</w:t>
            </w:r>
          </w:p>
        </w:tc>
        <w:tc>
          <w:tcPr>
            <w:tcW w:w="562"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0.164*</w:t>
            </w:r>
          </w:p>
        </w:tc>
        <w:tc>
          <w:tcPr>
            <w:tcW w:w="924"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0.116*</w:t>
            </w:r>
          </w:p>
        </w:tc>
        <w:tc>
          <w:tcPr>
            <w:tcW w:w="565" w:type="pct"/>
          </w:tcPr>
          <w:p w:rsidR="00B231E9" w:rsidRPr="009E44F5" w:rsidRDefault="00E03E8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Total Pay</w:t>
            </w:r>
          </w:p>
        </w:tc>
        <w:tc>
          <w:tcPr>
            <w:tcW w:w="53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6</w:t>
            </w:r>
            <w:r w:rsidR="00552458">
              <w:rPr>
                <w:rFonts w:ascii="Times New Roman" w:hAnsi="Times New Roman" w:cs="Times New Roman"/>
                <w:sz w:val="20"/>
                <w:szCs w:val="20"/>
              </w:rPr>
              <w:t>,</w:t>
            </w:r>
            <w:r w:rsidRPr="009E44F5">
              <w:rPr>
                <w:rFonts w:ascii="Times New Roman" w:hAnsi="Times New Roman" w:cs="Times New Roman"/>
                <w:sz w:val="20"/>
                <w:szCs w:val="20"/>
              </w:rPr>
              <w:t>281.33</w:t>
            </w:r>
          </w:p>
        </w:tc>
        <w:tc>
          <w:tcPr>
            <w:tcW w:w="621"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w:t>
            </w:r>
            <w:r w:rsidR="00552458">
              <w:rPr>
                <w:rFonts w:ascii="Times New Roman" w:hAnsi="Times New Roman" w:cs="Times New Roman"/>
                <w:sz w:val="20"/>
                <w:szCs w:val="20"/>
              </w:rPr>
              <w:t>,</w:t>
            </w:r>
            <w:r w:rsidRPr="009E44F5">
              <w:rPr>
                <w:rFonts w:ascii="Times New Roman" w:hAnsi="Times New Roman" w:cs="Times New Roman"/>
                <w:sz w:val="20"/>
                <w:szCs w:val="20"/>
              </w:rPr>
              <w:t>745.74</w:t>
            </w:r>
          </w:p>
        </w:tc>
        <w:tc>
          <w:tcPr>
            <w:tcW w:w="562"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9</w:t>
            </w:r>
            <w:r w:rsidR="00552458">
              <w:rPr>
                <w:rFonts w:ascii="Times New Roman" w:hAnsi="Times New Roman" w:cs="Times New Roman"/>
                <w:sz w:val="20"/>
                <w:szCs w:val="20"/>
              </w:rPr>
              <w:t>,</w:t>
            </w:r>
            <w:r w:rsidRPr="009E44F5">
              <w:rPr>
                <w:rFonts w:ascii="Times New Roman" w:hAnsi="Times New Roman" w:cs="Times New Roman"/>
                <w:sz w:val="20"/>
                <w:szCs w:val="20"/>
              </w:rPr>
              <w:t>028.90*</w:t>
            </w:r>
          </w:p>
        </w:tc>
        <w:tc>
          <w:tcPr>
            <w:tcW w:w="924"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w:t>
            </w:r>
            <w:r w:rsidR="00552458">
              <w:rPr>
                <w:rFonts w:ascii="Times New Roman" w:hAnsi="Times New Roman" w:cs="Times New Roman"/>
                <w:sz w:val="20"/>
                <w:szCs w:val="20"/>
              </w:rPr>
              <w:t>,</w:t>
            </w:r>
            <w:r w:rsidRPr="009E44F5">
              <w:rPr>
                <w:rFonts w:ascii="Times New Roman" w:hAnsi="Times New Roman" w:cs="Times New Roman"/>
                <w:sz w:val="20"/>
                <w:szCs w:val="20"/>
              </w:rPr>
              <w:t>543.97*</w:t>
            </w:r>
          </w:p>
        </w:tc>
        <w:tc>
          <w:tcPr>
            <w:tcW w:w="565" w:type="pct"/>
          </w:tcPr>
          <w:p w:rsidR="00B231E9" w:rsidRPr="009E44F5" w:rsidRDefault="00E03E8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Hedge Ratio 1</w:t>
            </w:r>
          </w:p>
        </w:tc>
        <w:tc>
          <w:tcPr>
            <w:tcW w:w="53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0.233</w:t>
            </w:r>
          </w:p>
        </w:tc>
        <w:tc>
          <w:tcPr>
            <w:tcW w:w="621"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0.084</w:t>
            </w:r>
          </w:p>
        </w:tc>
        <w:tc>
          <w:tcPr>
            <w:tcW w:w="562"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0.244</w:t>
            </w:r>
          </w:p>
        </w:tc>
        <w:tc>
          <w:tcPr>
            <w:tcW w:w="924"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0.094</w:t>
            </w:r>
          </w:p>
        </w:tc>
        <w:tc>
          <w:tcPr>
            <w:tcW w:w="565" w:type="pct"/>
          </w:tcPr>
          <w:p w:rsidR="00B231E9" w:rsidRPr="009E44F5" w:rsidRDefault="00E03E8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Hedge Ratio 2</w:t>
            </w:r>
          </w:p>
        </w:tc>
        <w:tc>
          <w:tcPr>
            <w:tcW w:w="53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0.017</w:t>
            </w:r>
          </w:p>
        </w:tc>
        <w:tc>
          <w:tcPr>
            <w:tcW w:w="621"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0.007</w:t>
            </w:r>
          </w:p>
        </w:tc>
        <w:tc>
          <w:tcPr>
            <w:tcW w:w="562"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0.028*</w:t>
            </w:r>
          </w:p>
        </w:tc>
        <w:tc>
          <w:tcPr>
            <w:tcW w:w="924"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0.015*</w:t>
            </w:r>
          </w:p>
        </w:tc>
        <w:tc>
          <w:tcPr>
            <w:tcW w:w="565" w:type="pct"/>
          </w:tcPr>
          <w:p w:rsidR="00B231E9" w:rsidRPr="009E44F5" w:rsidRDefault="00E03E8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Size</w:t>
            </w:r>
          </w:p>
        </w:tc>
        <w:tc>
          <w:tcPr>
            <w:tcW w:w="53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7.649</w:t>
            </w:r>
          </w:p>
        </w:tc>
        <w:tc>
          <w:tcPr>
            <w:tcW w:w="621"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7.405</w:t>
            </w:r>
          </w:p>
        </w:tc>
        <w:tc>
          <w:tcPr>
            <w:tcW w:w="562"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8.192*</w:t>
            </w:r>
          </w:p>
        </w:tc>
        <w:tc>
          <w:tcPr>
            <w:tcW w:w="924"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7.863*</w:t>
            </w:r>
          </w:p>
        </w:tc>
        <w:tc>
          <w:tcPr>
            <w:tcW w:w="565" w:type="pct"/>
          </w:tcPr>
          <w:p w:rsidR="00B231E9" w:rsidRPr="009E44F5" w:rsidRDefault="00E03E8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ROA</w:t>
            </w:r>
          </w:p>
        </w:tc>
        <w:tc>
          <w:tcPr>
            <w:tcW w:w="53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0.073</w:t>
            </w:r>
          </w:p>
        </w:tc>
        <w:tc>
          <w:tcPr>
            <w:tcW w:w="621"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0.073</w:t>
            </w:r>
          </w:p>
        </w:tc>
        <w:tc>
          <w:tcPr>
            <w:tcW w:w="562"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0.081</w:t>
            </w:r>
          </w:p>
        </w:tc>
        <w:tc>
          <w:tcPr>
            <w:tcW w:w="924"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0.081</w:t>
            </w:r>
          </w:p>
        </w:tc>
        <w:tc>
          <w:tcPr>
            <w:tcW w:w="565" w:type="pct"/>
          </w:tcPr>
          <w:p w:rsidR="00B231E9" w:rsidRPr="009E44F5" w:rsidRDefault="00E03E8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Investment Growth</w:t>
            </w:r>
          </w:p>
        </w:tc>
        <w:tc>
          <w:tcPr>
            <w:tcW w:w="53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0.212</w:t>
            </w:r>
          </w:p>
        </w:tc>
        <w:tc>
          <w:tcPr>
            <w:tcW w:w="621"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0.188</w:t>
            </w:r>
          </w:p>
        </w:tc>
        <w:tc>
          <w:tcPr>
            <w:tcW w:w="562"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0.218</w:t>
            </w:r>
          </w:p>
        </w:tc>
        <w:tc>
          <w:tcPr>
            <w:tcW w:w="924"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0.219*</w:t>
            </w:r>
          </w:p>
        </w:tc>
        <w:tc>
          <w:tcPr>
            <w:tcW w:w="565" w:type="pct"/>
          </w:tcPr>
          <w:p w:rsidR="00B231E9" w:rsidRPr="009E44F5" w:rsidRDefault="00E03E8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Altman-Z</w:t>
            </w:r>
          </w:p>
        </w:tc>
        <w:tc>
          <w:tcPr>
            <w:tcW w:w="53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2.572</w:t>
            </w:r>
          </w:p>
        </w:tc>
        <w:tc>
          <w:tcPr>
            <w:tcW w:w="621"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2.350</w:t>
            </w:r>
          </w:p>
        </w:tc>
        <w:tc>
          <w:tcPr>
            <w:tcW w:w="562"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2.516</w:t>
            </w:r>
          </w:p>
        </w:tc>
        <w:tc>
          <w:tcPr>
            <w:tcW w:w="924"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2.307</w:t>
            </w:r>
          </w:p>
        </w:tc>
        <w:tc>
          <w:tcPr>
            <w:tcW w:w="565" w:type="pct"/>
          </w:tcPr>
          <w:p w:rsidR="00B231E9" w:rsidRPr="009E44F5" w:rsidRDefault="00E03E8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Leverage</w:t>
            </w:r>
          </w:p>
        </w:tc>
        <w:tc>
          <w:tcPr>
            <w:tcW w:w="53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0.254</w:t>
            </w:r>
          </w:p>
        </w:tc>
        <w:tc>
          <w:tcPr>
            <w:tcW w:w="621"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0.246</w:t>
            </w:r>
          </w:p>
        </w:tc>
        <w:tc>
          <w:tcPr>
            <w:tcW w:w="562"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0.222</w:t>
            </w:r>
          </w:p>
        </w:tc>
        <w:tc>
          <w:tcPr>
            <w:tcW w:w="924"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0.236</w:t>
            </w:r>
          </w:p>
        </w:tc>
        <w:tc>
          <w:tcPr>
            <w:tcW w:w="565" w:type="pct"/>
          </w:tcPr>
          <w:p w:rsidR="00B231E9" w:rsidRPr="009E44F5" w:rsidRDefault="00E03E8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Dividend</w:t>
            </w:r>
          </w:p>
        </w:tc>
        <w:tc>
          <w:tcPr>
            <w:tcW w:w="53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0.562</w:t>
            </w:r>
          </w:p>
        </w:tc>
        <w:tc>
          <w:tcPr>
            <w:tcW w:w="621"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p>
        </w:tc>
        <w:tc>
          <w:tcPr>
            <w:tcW w:w="562"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0.527</w:t>
            </w:r>
          </w:p>
        </w:tc>
        <w:tc>
          <w:tcPr>
            <w:tcW w:w="924"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p>
        </w:tc>
        <w:tc>
          <w:tcPr>
            <w:tcW w:w="565" w:type="pct"/>
          </w:tcPr>
          <w:p w:rsidR="00B231E9" w:rsidRPr="009E44F5" w:rsidRDefault="00E03E8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r w:rsidR="009E44F5" w:rsidRPr="009E44F5" w:rsidTr="00B87971">
        <w:trPr>
          <w:trHeight w:val="290"/>
          <w:jc w:val="center"/>
        </w:trPr>
        <w:tc>
          <w:tcPr>
            <w:tcW w:w="1258" w:type="pct"/>
            <w:tcBorders>
              <w:bottom w:val="single" w:sz="4" w:space="0" w:color="auto"/>
            </w:tcBorders>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Cash</w:t>
            </w:r>
          </w:p>
        </w:tc>
        <w:tc>
          <w:tcPr>
            <w:tcW w:w="530" w:type="pct"/>
            <w:tcBorders>
              <w:bottom w:val="single" w:sz="4" w:space="0" w:color="auto"/>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0.043</w:t>
            </w:r>
          </w:p>
        </w:tc>
        <w:tc>
          <w:tcPr>
            <w:tcW w:w="621" w:type="pct"/>
            <w:tcBorders>
              <w:bottom w:val="single" w:sz="4" w:space="0" w:color="auto"/>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0.013</w:t>
            </w:r>
          </w:p>
        </w:tc>
        <w:tc>
          <w:tcPr>
            <w:tcW w:w="562" w:type="pct"/>
            <w:tcBorders>
              <w:bottom w:val="single" w:sz="4" w:space="0" w:color="auto"/>
            </w:tcBorders>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w:t>
            </w:r>
          </w:p>
        </w:tc>
        <w:tc>
          <w:tcPr>
            <w:tcW w:w="540" w:type="pct"/>
            <w:tcBorders>
              <w:bottom w:val="single" w:sz="4" w:space="0" w:color="auto"/>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0.049</w:t>
            </w:r>
          </w:p>
        </w:tc>
        <w:tc>
          <w:tcPr>
            <w:tcW w:w="924" w:type="pct"/>
            <w:tcBorders>
              <w:bottom w:val="single" w:sz="4" w:space="0" w:color="auto"/>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0.011</w:t>
            </w:r>
          </w:p>
        </w:tc>
        <w:tc>
          <w:tcPr>
            <w:tcW w:w="565" w:type="pct"/>
            <w:tcBorders>
              <w:bottom w:val="single" w:sz="4" w:space="0" w:color="auto"/>
            </w:tcBorders>
          </w:tcPr>
          <w:p w:rsidR="00B231E9" w:rsidRPr="009E44F5" w:rsidRDefault="00E03E8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74</w:t>
            </w:r>
          </w:p>
        </w:tc>
      </w:tr>
    </w:tbl>
    <w:p w:rsidR="00B231E9" w:rsidRPr="009E44F5" w:rsidRDefault="00B231E9" w:rsidP="00B231E9">
      <w:pPr>
        <w:rPr>
          <w:rFonts w:ascii="Times New Roman" w:hAnsi="Times New Roman" w:cs="Times New Roman"/>
        </w:rPr>
      </w:pPr>
      <w:bookmarkStart w:id="0" w:name="_GoBack"/>
      <w:r w:rsidRPr="009E44F5">
        <w:rPr>
          <w:rFonts w:ascii="Times New Roman" w:hAnsi="Times New Roman" w:cs="Times New Roman"/>
        </w:rPr>
        <w:br w:type="page"/>
      </w:r>
    </w:p>
    <w:tbl>
      <w:tblPr>
        <w:tblW w:w="5003" w:type="pct"/>
        <w:jc w:val="center"/>
        <w:tblInd w:w="1" w:type="dxa"/>
        <w:tblLook w:val="0000"/>
      </w:tblPr>
      <w:tblGrid>
        <w:gridCol w:w="2181"/>
        <w:gridCol w:w="1246"/>
        <w:gridCol w:w="109"/>
        <w:gridCol w:w="1081"/>
        <w:gridCol w:w="75"/>
        <w:gridCol w:w="1002"/>
        <w:gridCol w:w="36"/>
        <w:gridCol w:w="998"/>
        <w:gridCol w:w="69"/>
        <w:gridCol w:w="1702"/>
        <w:gridCol w:w="33"/>
        <w:gridCol w:w="1050"/>
      </w:tblGrid>
      <w:tr w:rsidR="009E44F5" w:rsidRPr="009E44F5" w:rsidTr="00405A24">
        <w:trPr>
          <w:trHeight w:val="290"/>
          <w:jc w:val="center"/>
        </w:trPr>
        <w:tc>
          <w:tcPr>
            <w:tcW w:w="5000" w:type="pct"/>
            <w:gridSpan w:val="12"/>
          </w:tcPr>
          <w:bookmarkEnd w:id="0"/>
          <w:p w:rsidR="00B231E9" w:rsidRPr="009E44F5" w:rsidRDefault="00B87971" w:rsidP="00B87971">
            <w:pPr>
              <w:autoSpaceDE w:val="0"/>
              <w:autoSpaceDN w:val="0"/>
              <w:adjustRightInd w:val="0"/>
              <w:spacing w:after="0" w:line="240" w:lineRule="auto"/>
              <w:jc w:val="center"/>
              <w:rPr>
                <w:rFonts w:ascii="Times New Roman" w:hAnsi="Times New Roman" w:cs="Times New Roman"/>
                <w:b/>
                <w:sz w:val="20"/>
                <w:szCs w:val="20"/>
              </w:rPr>
            </w:pPr>
            <w:r w:rsidRPr="009E44F5">
              <w:rPr>
                <w:rFonts w:ascii="Times New Roman" w:eastAsia="Times New Roman" w:hAnsi="Times New Roman" w:cs="Times New Roman"/>
                <w:b/>
                <w:sz w:val="24"/>
                <w:szCs w:val="24"/>
              </w:rPr>
              <w:lastRenderedPageBreak/>
              <w:t>Table 1</w:t>
            </w:r>
            <w:r>
              <w:rPr>
                <w:rFonts w:ascii="Times New Roman" w:eastAsia="Times New Roman" w:hAnsi="Times New Roman" w:cs="Times New Roman"/>
                <w:b/>
                <w:sz w:val="24"/>
                <w:szCs w:val="24"/>
              </w:rPr>
              <w:t xml:space="preserve"> -- </w:t>
            </w:r>
            <w:r>
              <w:rPr>
                <w:rFonts w:ascii="Times New Roman" w:eastAsia="Times New Roman" w:hAnsi="Times New Roman" w:cs="Times New Roman"/>
                <w:b/>
                <w:i/>
                <w:sz w:val="24"/>
                <w:szCs w:val="24"/>
              </w:rPr>
              <w:t>continued</w:t>
            </w:r>
          </w:p>
          <w:p w:rsidR="00B231E9" w:rsidRPr="009E44F5" w:rsidRDefault="00B231E9" w:rsidP="00405A24">
            <w:pPr>
              <w:autoSpaceDE w:val="0"/>
              <w:autoSpaceDN w:val="0"/>
              <w:adjustRightInd w:val="0"/>
              <w:spacing w:after="0" w:line="240" w:lineRule="auto"/>
              <w:rPr>
                <w:rFonts w:ascii="Times New Roman" w:hAnsi="Times New Roman" w:cs="Times New Roman"/>
                <w:b/>
                <w:sz w:val="20"/>
                <w:szCs w:val="20"/>
              </w:rPr>
            </w:pPr>
            <w:r w:rsidRPr="009E44F5">
              <w:rPr>
                <w:rFonts w:ascii="Times New Roman" w:hAnsi="Times New Roman" w:cs="Times New Roman"/>
                <w:b/>
                <w:sz w:val="20"/>
                <w:szCs w:val="20"/>
              </w:rPr>
              <w:t>Panel C: Control Group 1 – No options pay in Pre-FAS 123R</w:t>
            </w:r>
          </w:p>
        </w:tc>
      </w:tr>
      <w:tr w:rsidR="009E44F5" w:rsidRPr="009E44F5" w:rsidTr="00944BB1">
        <w:trPr>
          <w:trHeight w:val="290"/>
          <w:jc w:val="center"/>
        </w:trPr>
        <w:tc>
          <w:tcPr>
            <w:tcW w:w="1138" w:type="pct"/>
            <w:tcBorders>
              <w:top w:val="single" w:sz="2" w:space="0" w:color="000000"/>
            </w:tcBorders>
          </w:tcPr>
          <w:p w:rsidR="00B231E9" w:rsidRPr="009E44F5" w:rsidRDefault="00B231E9" w:rsidP="00405A24">
            <w:pPr>
              <w:autoSpaceDE w:val="0"/>
              <w:autoSpaceDN w:val="0"/>
              <w:adjustRightInd w:val="0"/>
              <w:spacing w:after="0" w:line="240" w:lineRule="auto"/>
              <w:jc w:val="right"/>
              <w:rPr>
                <w:rFonts w:ascii="Times New Roman" w:hAnsi="Times New Roman" w:cs="Times New Roman"/>
                <w:sz w:val="20"/>
                <w:szCs w:val="20"/>
              </w:rPr>
            </w:pPr>
          </w:p>
        </w:tc>
        <w:tc>
          <w:tcPr>
            <w:tcW w:w="1833" w:type="pct"/>
            <w:gridSpan w:val="5"/>
            <w:tcBorders>
              <w:top w:val="single" w:sz="2" w:space="0" w:color="000000"/>
            </w:tcBorders>
          </w:tcPr>
          <w:p w:rsidR="00B231E9" w:rsidRPr="009E44F5" w:rsidRDefault="00B231E9" w:rsidP="00405A24">
            <w:pPr>
              <w:autoSpaceDE w:val="0"/>
              <w:autoSpaceDN w:val="0"/>
              <w:adjustRightInd w:val="0"/>
              <w:spacing w:after="0" w:line="240" w:lineRule="auto"/>
              <w:jc w:val="center"/>
              <w:rPr>
                <w:rFonts w:ascii="Times New Roman" w:hAnsi="Times New Roman" w:cs="Times New Roman"/>
                <w:sz w:val="20"/>
                <w:szCs w:val="20"/>
                <w:u w:val="single"/>
              </w:rPr>
            </w:pPr>
            <w:r w:rsidRPr="009E44F5">
              <w:rPr>
                <w:rFonts w:ascii="Times New Roman" w:hAnsi="Times New Roman" w:cs="Times New Roman"/>
                <w:sz w:val="20"/>
                <w:szCs w:val="20"/>
                <w:u w:val="single"/>
              </w:rPr>
              <w:t>Control Group</w:t>
            </w:r>
          </w:p>
        </w:tc>
        <w:tc>
          <w:tcPr>
            <w:tcW w:w="2029" w:type="pct"/>
            <w:gridSpan w:val="6"/>
            <w:tcBorders>
              <w:top w:val="single" w:sz="2" w:space="0" w:color="000000"/>
            </w:tcBorders>
          </w:tcPr>
          <w:p w:rsidR="00B231E9" w:rsidRPr="009E44F5" w:rsidRDefault="00B231E9" w:rsidP="00405A24">
            <w:pPr>
              <w:autoSpaceDE w:val="0"/>
              <w:autoSpaceDN w:val="0"/>
              <w:adjustRightInd w:val="0"/>
              <w:spacing w:after="0" w:line="240" w:lineRule="auto"/>
              <w:jc w:val="center"/>
              <w:rPr>
                <w:rFonts w:ascii="Times New Roman" w:hAnsi="Times New Roman" w:cs="Times New Roman"/>
                <w:u w:val="single"/>
              </w:rPr>
            </w:pPr>
            <w:r w:rsidRPr="009E44F5">
              <w:rPr>
                <w:rFonts w:ascii="Times New Roman" w:hAnsi="Times New Roman" w:cs="Times New Roman"/>
                <w:sz w:val="20"/>
                <w:szCs w:val="20"/>
                <w:u w:val="single"/>
              </w:rPr>
              <w:t>Treated Group</w:t>
            </w:r>
          </w:p>
        </w:tc>
      </w:tr>
      <w:tr w:rsidR="009E44F5" w:rsidRPr="009E44F5" w:rsidTr="00944BB1">
        <w:trPr>
          <w:trHeight w:val="290"/>
          <w:jc w:val="center"/>
        </w:trPr>
        <w:tc>
          <w:tcPr>
            <w:tcW w:w="1138" w:type="pct"/>
            <w:tcBorders>
              <w:bottom w:val="single" w:sz="2" w:space="0" w:color="000000"/>
            </w:tcBorders>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p>
        </w:tc>
        <w:tc>
          <w:tcPr>
            <w:tcW w:w="650" w:type="pct"/>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Mean</w:t>
            </w:r>
          </w:p>
        </w:tc>
        <w:tc>
          <w:tcPr>
            <w:tcW w:w="621" w:type="pct"/>
            <w:gridSpan w:val="2"/>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Median</w:t>
            </w:r>
          </w:p>
        </w:tc>
        <w:tc>
          <w:tcPr>
            <w:tcW w:w="562" w:type="pct"/>
            <w:gridSpan w:val="2"/>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N</w:t>
            </w:r>
          </w:p>
        </w:tc>
        <w:tc>
          <w:tcPr>
            <w:tcW w:w="540" w:type="pct"/>
            <w:gridSpan w:val="2"/>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Mean</w:t>
            </w:r>
          </w:p>
        </w:tc>
        <w:tc>
          <w:tcPr>
            <w:tcW w:w="924" w:type="pct"/>
            <w:gridSpan w:val="2"/>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Median</w:t>
            </w:r>
          </w:p>
        </w:tc>
        <w:tc>
          <w:tcPr>
            <w:tcW w:w="565" w:type="pct"/>
            <w:gridSpan w:val="2"/>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N</w:t>
            </w:r>
          </w:p>
        </w:tc>
      </w:tr>
      <w:tr w:rsidR="009E44F5" w:rsidRPr="009E44F5" w:rsidTr="00944BB1">
        <w:trPr>
          <w:trHeight w:val="290"/>
          <w:jc w:val="center"/>
        </w:trPr>
        <w:tc>
          <w:tcPr>
            <w:tcW w:w="1138" w:type="pct"/>
            <w:tcBorders>
              <w:top w:val="single" w:sz="2" w:space="0" w:color="000000"/>
            </w:tcBorders>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Delta</w:t>
            </w:r>
          </w:p>
        </w:tc>
        <w:tc>
          <w:tcPr>
            <w:tcW w:w="650" w:type="pct"/>
            <w:tcBorders>
              <w:top w:val="single" w:sz="2" w:space="0" w:color="000000"/>
            </w:tcBorders>
          </w:tcPr>
          <w:p w:rsidR="00B231E9" w:rsidRPr="009E44F5" w:rsidRDefault="00D7659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292.913</w:t>
            </w:r>
          </w:p>
        </w:tc>
        <w:tc>
          <w:tcPr>
            <w:tcW w:w="621" w:type="pct"/>
            <w:gridSpan w:val="2"/>
            <w:tcBorders>
              <w:top w:val="single" w:sz="2" w:space="0" w:color="000000"/>
            </w:tcBorders>
          </w:tcPr>
          <w:p w:rsidR="00B231E9" w:rsidRPr="009E44F5" w:rsidRDefault="00D7659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139</w:t>
            </w:r>
            <w:r w:rsidR="00B231E9" w:rsidRPr="009E44F5">
              <w:rPr>
                <w:rFonts w:ascii="Times New Roman" w:hAnsi="Times New Roman" w:cs="Times New Roman"/>
                <w:sz w:val="20"/>
                <w:szCs w:val="20"/>
              </w:rPr>
              <w:t>.</w:t>
            </w:r>
            <w:r w:rsidRPr="009E44F5">
              <w:rPr>
                <w:rFonts w:ascii="Times New Roman" w:hAnsi="Times New Roman" w:cs="Times New Roman"/>
                <w:sz w:val="20"/>
                <w:szCs w:val="20"/>
              </w:rPr>
              <w:t>437</w:t>
            </w:r>
          </w:p>
        </w:tc>
        <w:tc>
          <w:tcPr>
            <w:tcW w:w="562" w:type="pct"/>
            <w:gridSpan w:val="2"/>
            <w:tcBorders>
              <w:top w:val="single" w:sz="2" w:space="0" w:color="000000"/>
            </w:tcBorders>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Borders>
              <w:top w:val="single" w:sz="2" w:space="0" w:color="000000"/>
            </w:tcBorders>
          </w:tcPr>
          <w:p w:rsidR="00B231E9" w:rsidRPr="009E44F5" w:rsidRDefault="00D7659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w:t>
            </w:r>
            <w:r w:rsidR="00040543" w:rsidRPr="009E44F5">
              <w:rPr>
                <w:rFonts w:ascii="Times New Roman" w:hAnsi="Times New Roman" w:cs="Times New Roman"/>
                <w:sz w:val="20"/>
                <w:szCs w:val="20"/>
              </w:rPr>
              <w:t>4</w:t>
            </w:r>
            <w:r w:rsidRPr="009E44F5">
              <w:rPr>
                <w:rFonts w:ascii="Times New Roman" w:hAnsi="Times New Roman" w:cs="Times New Roman"/>
                <w:sz w:val="20"/>
                <w:szCs w:val="20"/>
              </w:rPr>
              <w:t>0.265</w:t>
            </w:r>
          </w:p>
        </w:tc>
        <w:tc>
          <w:tcPr>
            <w:tcW w:w="924" w:type="pct"/>
            <w:gridSpan w:val="2"/>
            <w:tcBorders>
              <w:top w:val="single" w:sz="2" w:space="0" w:color="000000"/>
            </w:tcBorders>
          </w:tcPr>
          <w:p w:rsidR="00B231E9" w:rsidRPr="009E44F5" w:rsidRDefault="00D7659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182.494</w:t>
            </w:r>
          </w:p>
        </w:tc>
        <w:tc>
          <w:tcPr>
            <w:tcW w:w="565" w:type="pct"/>
            <w:gridSpan w:val="2"/>
            <w:tcBorders>
              <w:top w:val="single" w:sz="2" w:space="0" w:color="000000"/>
            </w:tcBorders>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118</w:t>
            </w:r>
          </w:p>
        </w:tc>
      </w:tr>
      <w:tr w:rsidR="009E44F5" w:rsidRPr="009E44F5" w:rsidTr="00944BB1">
        <w:trPr>
          <w:trHeight w:val="290"/>
          <w:jc w:val="center"/>
        </w:trPr>
        <w:tc>
          <w:tcPr>
            <w:tcW w:w="113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Vega</w:t>
            </w:r>
          </w:p>
        </w:tc>
        <w:tc>
          <w:tcPr>
            <w:tcW w:w="650" w:type="pct"/>
          </w:tcPr>
          <w:p w:rsidR="00B231E9" w:rsidRPr="009E44F5" w:rsidRDefault="00255164"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27.42</w:t>
            </w:r>
            <w:r w:rsidR="00B231E9" w:rsidRPr="009E44F5">
              <w:rPr>
                <w:rFonts w:ascii="Times New Roman" w:hAnsi="Times New Roman" w:cs="Times New Roman"/>
                <w:sz w:val="20"/>
                <w:szCs w:val="20"/>
              </w:rPr>
              <w:t>0</w:t>
            </w:r>
          </w:p>
        </w:tc>
        <w:tc>
          <w:tcPr>
            <w:tcW w:w="621"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562" w:type="pct"/>
            <w:gridSpan w:val="2"/>
          </w:tcPr>
          <w:p w:rsidR="00B231E9" w:rsidRPr="009E44F5" w:rsidRDefault="00255164"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Pr>
          <w:p w:rsidR="00B231E9" w:rsidRPr="009E44F5" w:rsidRDefault="00255164"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139.758</w:t>
            </w:r>
            <w:r w:rsidR="00B231E9" w:rsidRPr="009E44F5">
              <w:rPr>
                <w:rFonts w:ascii="Times New Roman" w:hAnsi="Times New Roman" w:cs="Times New Roman"/>
                <w:sz w:val="20"/>
                <w:szCs w:val="20"/>
              </w:rPr>
              <w:t>*</w:t>
            </w:r>
          </w:p>
        </w:tc>
        <w:tc>
          <w:tcPr>
            <w:tcW w:w="924" w:type="pct"/>
            <w:gridSpan w:val="2"/>
          </w:tcPr>
          <w:p w:rsidR="00B231E9" w:rsidRPr="009E44F5" w:rsidRDefault="00255164"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104.599</w:t>
            </w:r>
            <w:r w:rsidR="00B231E9" w:rsidRPr="009E44F5">
              <w:rPr>
                <w:rFonts w:ascii="Times New Roman" w:hAnsi="Times New Roman" w:cs="Times New Roman"/>
                <w:sz w:val="20"/>
                <w:szCs w:val="20"/>
              </w:rPr>
              <w:t>*</w:t>
            </w:r>
          </w:p>
        </w:tc>
        <w:tc>
          <w:tcPr>
            <w:tcW w:w="565" w:type="pct"/>
            <w:gridSpan w:val="2"/>
          </w:tcPr>
          <w:p w:rsidR="00B231E9" w:rsidRPr="009E44F5" w:rsidRDefault="00255164"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118</w:t>
            </w:r>
          </w:p>
        </w:tc>
      </w:tr>
      <w:tr w:rsidR="009E44F5" w:rsidRPr="009E44F5" w:rsidTr="00944BB1">
        <w:trPr>
          <w:trHeight w:val="290"/>
          <w:jc w:val="center"/>
        </w:trPr>
        <w:tc>
          <w:tcPr>
            <w:tcW w:w="113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Option Pay/Total Pay</w:t>
            </w:r>
          </w:p>
        </w:tc>
        <w:tc>
          <w:tcPr>
            <w:tcW w:w="65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0.024</w:t>
            </w:r>
          </w:p>
        </w:tc>
        <w:tc>
          <w:tcPr>
            <w:tcW w:w="621"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w:t>
            </w:r>
          </w:p>
        </w:tc>
        <w:tc>
          <w:tcPr>
            <w:tcW w:w="562"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0.284*</w:t>
            </w:r>
          </w:p>
        </w:tc>
        <w:tc>
          <w:tcPr>
            <w:tcW w:w="924"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0.268*</w:t>
            </w:r>
          </w:p>
        </w:tc>
        <w:tc>
          <w:tcPr>
            <w:tcW w:w="565"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118</w:t>
            </w:r>
          </w:p>
        </w:tc>
      </w:tr>
      <w:tr w:rsidR="009E44F5" w:rsidRPr="009E44F5" w:rsidTr="00944BB1">
        <w:trPr>
          <w:trHeight w:val="290"/>
          <w:jc w:val="center"/>
        </w:trPr>
        <w:tc>
          <w:tcPr>
            <w:tcW w:w="113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Total Pay</w:t>
            </w:r>
          </w:p>
        </w:tc>
        <w:tc>
          <w:tcPr>
            <w:tcW w:w="65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w:t>
            </w:r>
            <w:r w:rsidR="00552458">
              <w:rPr>
                <w:rFonts w:ascii="Times New Roman" w:hAnsi="Times New Roman" w:cs="Times New Roman"/>
                <w:sz w:val="20"/>
                <w:szCs w:val="20"/>
              </w:rPr>
              <w:t>,</w:t>
            </w:r>
            <w:r w:rsidRPr="009E44F5">
              <w:rPr>
                <w:rFonts w:ascii="Times New Roman" w:hAnsi="Times New Roman" w:cs="Times New Roman"/>
                <w:sz w:val="20"/>
                <w:szCs w:val="20"/>
              </w:rPr>
              <w:t>952.77</w:t>
            </w:r>
          </w:p>
        </w:tc>
        <w:tc>
          <w:tcPr>
            <w:tcW w:w="621"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w:t>
            </w:r>
            <w:r w:rsidR="00552458">
              <w:rPr>
                <w:rFonts w:ascii="Times New Roman" w:hAnsi="Times New Roman" w:cs="Times New Roman"/>
                <w:sz w:val="20"/>
                <w:szCs w:val="20"/>
              </w:rPr>
              <w:t>,</w:t>
            </w:r>
            <w:r w:rsidRPr="009E44F5">
              <w:rPr>
                <w:rFonts w:ascii="Times New Roman" w:hAnsi="Times New Roman" w:cs="Times New Roman"/>
                <w:sz w:val="20"/>
                <w:szCs w:val="20"/>
              </w:rPr>
              <w:t>814.53</w:t>
            </w:r>
          </w:p>
        </w:tc>
        <w:tc>
          <w:tcPr>
            <w:tcW w:w="562" w:type="pct"/>
            <w:gridSpan w:val="2"/>
          </w:tcPr>
          <w:p w:rsidR="00B231E9" w:rsidRPr="009E44F5" w:rsidRDefault="00255164"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w:t>
            </w:r>
            <w:r w:rsidR="00552458">
              <w:rPr>
                <w:rFonts w:ascii="Times New Roman" w:hAnsi="Times New Roman" w:cs="Times New Roman"/>
                <w:sz w:val="20"/>
                <w:szCs w:val="20"/>
              </w:rPr>
              <w:t>,</w:t>
            </w:r>
            <w:r w:rsidRPr="009E44F5">
              <w:rPr>
                <w:rFonts w:ascii="Times New Roman" w:hAnsi="Times New Roman" w:cs="Times New Roman"/>
                <w:sz w:val="20"/>
                <w:szCs w:val="20"/>
              </w:rPr>
              <w:t>548.30*</w:t>
            </w:r>
          </w:p>
        </w:tc>
        <w:tc>
          <w:tcPr>
            <w:tcW w:w="924"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w:t>
            </w:r>
            <w:r w:rsidR="00552458">
              <w:rPr>
                <w:rFonts w:ascii="Times New Roman" w:hAnsi="Times New Roman" w:cs="Times New Roman"/>
                <w:sz w:val="20"/>
                <w:szCs w:val="20"/>
              </w:rPr>
              <w:t>,</w:t>
            </w:r>
            <w:r w:rsidRPr="009E44F5">
              <w:rPr>
                <w:rFonts w:ascii="Times New Roman" w:hAnsi="Times New Roman" w:cs="Times New Roman"/>
                <w:sz w:val="20"/>
                <w:szCs w:val="20"/>
              </w:rPr>
              <w:t>346.23</w:t>
            </w:r>
          </w:p>
        </w:tc>
        <w:tc>
          <w:tcPr>
            <w:tcW w:w="565" w:type="pct"/>
            <w:gridSpan w:val="2"/>
          </w:tcPr>
          <w:p w:rsidR="00B231E9" w:rsidRPr="009E44F5" w:rsidRDefault="00255164"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118</w:t>
            </w:r>
          </w:p>
        </w:tc>
      </w:tr>
      <w:tr w:rsidR="009E44F5" w:rsidRPr="009E44F5" w:rsidTr="00944BB1">
        <w:trPr>
          <w:trHeight w:val="290"/>
          <w:jc w:val="center"/>
        </w:trPr>
        <w:tc>
          <w:tcPr>
            <w:tcW w:w="113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Hedge Ratio 1</w:t>
            </w:r>
          </w:p>
        </w:tc>
        <w:tc>
          <w:tcPr>
            <w:tcW w:w="650" w:type="pct"/>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0.197</w:t>
            </w:r>
          </w:p>
        </w:tc>
        <w:tc>
          <w:tcPr>
            <w:tcW w:w="621" w:type="pct"/>
            <w:gridSpan w:val="2"/>
          </w:tcPr>
          <w:p w:rsidR="00B231E9" w:rsidRPr="009E44F5" w:rsidRDefault="00B62728"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0.063</w:t>
            </w:r>
          </w:p>
        </w:tc>
        <w:tc>
          <w:tcPr>
            <w:tcW w:w="562" w:type="pct"/>
            <w:gridSpan w:val="2"/>
          </w:tcPr>
          <w:p w:rsidR="00B231E9" w:rsidRPr="009E44F5" w:rsidRDefault="00204C5C"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0.220</w:t>
            </w:r>
          </w:p>
        </w:tc>
        <w:tc>
          <w:tcPr>
            <w:tcW w:w="924" w:type="pct"/>
            <w:gridSpan w:val="2"/>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0.099</w:t>
            </w:r>
          </w:p>
        </w:tc>
        <w:tc>
          <w:tcPr>
            <w:tcW w:w="565" w:type="pct"/>
            <w:gridSpan w:val="2"/>
          </w:tcPr>
          <w:p w:rsidR="00B231E9" w:rsidRPr="009E44F5" w:rsidRDefault="0012752A"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118</w:t>
            </w:r>
          </w:p>
        </w:tc>
      </w:tr>
      <w:tr w:rsidR="009E44F5" w:rsidRPr="009E44F5" w:rsidTr="00944BB1">
        <w:trPr>
          <w:trHeight w:val="290"/>
          <w:jc w:val="center"/>
        </w:trPr>
        <w:tc>
          <w:tcPr>
            <w:tcW w:w="113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Hedge Ratio 2</w:t>
            </w:r>
          </w:p>
        </w:tc>
        <w:tc>
          <w:tcPr>
            <w:tcW w:w="65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w:t>
            </w:r>
            <w:r w:rsidR="005D6356" w:rsidRPr="009E44F5">
              <w:rPr>
                <w:rFonts w:ascii="Times New Roman" w:hAnsi="Times New Roman" w:cs="Times New Roman"/>
                <w:sz w:val="20"/>
                <w:szCs w:val="20"/>
              </w:rPr>
              <w:t>7</w:t>
            </w:r>
          </w:p>
        </w:tc>
        <w:tc>
          <w:tcPr>
            <w:tcW w:w="621" w:type="pct"/>
            <w:gridSpan w:val="2"/>
          </w:tcPr>
          <w:p w:rsidR="00B231E9" w:rsidRPr="009E44F5" w:rsidRDefault="005D6356"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0.004</w:t>
            </w:r>
          </w:p>
        </w:tc>
        <w:tc>
          <w:tcPr>
            <w:tcW w:w="562" w:type="pct"/>
            <w:gridSpan w:val="2"/>
          </w:tcPr>
          <w:p w:rsidR="00B231E9" w:rsidRPr="009E44F5" w:rsidRDefault="005D6356"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Pr>
          <w:p w:rsidR="00B231E9" w:rsidRPr="009E44F5" w:rsidRDefault="005D6356"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0.023</w:t>
            </w:r>
          </w:p>
        </w:tc>
        <w:tc>
          <w:tcPr>
            <w:tcW w:w="924" w:type="pct"/>
            <w:gridSpan w:val="2"/>
          </w:tcPr>
          <w:p w:rsidR="00B231E9" w:rsidRPr="009E44F5" w:rsidRDefault="005D6356"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0.012</w:t>
            </w:r>
            <w:r w:rsidR="00B231E9" w:rsidRPr="009E44F5">
              <w:rPr>
                <w:rFonts w:ascii="Times New Roman" w:hAnsi="Times New Roman" w:cs="Times New Roman"/>
                <w:sz w:val="20"/>
                <w:szCs w:val="20"/>
              </w:rPr>
              <w:t>*</w:t>
            </w:r>
          </w:p>
        </w:tc>
        <w:tc>
          <w:tcPr>
            <w:tcW w:w="565" w:type="pct"/>
            <w:gridSpan w:val="2"/>
          </w:tcPr>
          <w:p w:rsidR="00B231E9" w:rsidRPr="009E44F5" w:rsidRDefault="005D6356"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118</w:t>
            </w:r>
          </w:p>
        </w:tc>
      </w:tr>
      <w:tr w:rsidR="009E44F5" w:rsidRPr="009E44F5" w:rsidTr="00944BB1">
        <w:trPr>
          <w:trHeight w:val="290"/>
          <w:jc w:val="center"/>
        </w:trPr>
        <w:tc>
          <w:tcPr>
            <w:tcW w:w="113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Size</w:t>
            </w:r>
          </w:p>
        </w:tc>
        <w:tc>
          <w:tcPr>
            <w:tcW w:w="65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8.348</w:t>
            </w:r>
          </w:p>
        </w:tc>
        <w:tc>
          <w:tcPr>
            <w:tcW w:w="621"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8.338</w:t>
            </w:r>
          </w:p>
        </w:tc>
        <w:tc>
          <w:tcPr>
            <w:tcW w:w="562"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7.633*</w:t>
            </w:r>
          </w:p>
        </w:tc>
        <w:tc>
          <w:tcPr>
            <w:tcW w:w="924"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7.901</w:t>
            </w:r>
          </w:p>
        </w:tc>
        <w:tc>
          <w:tcPr>
            <w:tcW w:w="565"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w:t>
            </w:r>
            <w:r w:rsidR="00B231E9" w:rsidRPr="009E44F5">
              <w:rPr>
                <w:rFonts w:ascii="Times New Roman" w:hAnsi="Times New Roman" w:cs="Times New Roman"/>
                <w:sz w:val="20"/>
                <w:szCs w:val="20"/>
              </w:rPr>
              <w:t>8</w:t>
            </w:r>
          </w:p>
        </w:tc>
      </w:tr>
      <w:tr w:rsidR="009E44F5" w:rsidRPr="009E44F5" w:rsidTr="00944BB1">
        <w:trPr>
          <w:trHeight w:val="290"/>
          <w:jc w:val="center"/>
        </w:trPr>
        <w:tc>
          <w:tcPr>
            <w:tcW w:w="113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ROA</w:t>
            </w:r>
          </w:p>
        </w:tc>
        <w:tc>
          <w:tcPr>
            <w:tcW w:w="65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0.078</w:t>
            </w:r>
          </w:p>
        </w:tc>
        <w:tc>
          <w:tcPr>
            <w:tcW w:w="621"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0.082</w:t>
            </w:r>
          </w:p>
        </w:tc>
        <w:tc>
          <w:tcPr>
            <w:tcW w:w="562"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0.081</w:t>
            </w:r>
          </w:p>
        </w:tc>
        <w:tc>
          <w:tcPr>
            <w:tcW w:w="924"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0.078</w:t>
            </w:r>
          </w:p>
        </w:tc>
        <w:tc>
          <w:tcPr>
            <w:tcW w:w="565"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w:t>
            </w:r>
            <w:r w:rsidR="00B231E9" w:rsidRPr="009E44F5">
              <w:rPr>
                <w:rFonts w:ascii="Times New Roman" w:hAnsi="Times New Roman" w:cs="Times New Roman"/>
                <w:sz w:val="20"/>
                <w:szCs w:val="20"/>
              </w:rPr>
              <w:t>8</w:t>
            </w:r>
          </w:p>
        </w:tc>
      </w:tr>
      <w:tr w:rsidR="009E44F5" w:rsidRPr="009E44F5" w:rsidTr="00944BB1">
        <w:trPr>
          <w:trHeight w:val="290"/>
          <w:jc w:val="center"/>
        </w:trPr>
        <w:tc>
          <w:tcPr>
            <w:tcW w:w="113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Investment Growth</w:t>
            </w:r>
          </w:p>
        </w:tc>
        <w:tc>
          <w:tcPr>
            <w:tcW w:w="65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0.189</w:t>
            </w:r>
          </w:p>
        </w:tc>
        <w:tc>
          <w:tcPr>
            <w:tcW w:w="621"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0.188</w:t>
            </w:r>
          </w:p>
        </w:tc>
        <w:tc>
          <w:tcPr>
            <w:tcW w:w="562"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0.203</w:t>
            </w:r>
          </w:p>
        </w:tc>
        <w:tc>
          <w:tcPr>
            <w:tcW w:w="924"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0.1865</w:t>
            </w:r>
          </w:p>
        </w:tc>
        <w:tc>
          <w:tcPr>
            <w:tcW w:w="565"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w:t>
            </w:r>
            <w:r w:rsidR="00B231E9" w:rsidRPr="009E44F5">
              <w:rPr>
                <w:rFonts w:ascii="Times New Roman" w:hAnsi="Times New Roman" w:cs="Times New Roman"/>
                <w:sz w:val="20"/>
                <w:szCs w:val="20"/>
              </w:rPr>
              <w:t>8</w:t>
            </w:r>
          </w:p>
        </w:tc>
      </w:tr>
      <w:tr w:rsidR="009E44F5" w:rsidRPr="009E44F5" w:rsidTr="00944BB1">
        <w:trPr>
          <w:trHeight w:val="290"/>
          <w:jc w:val="center"/>
        </w:trPr>
        <w:tc>
          <w:tcPr>
            <w:tcW w:w="113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Altman-Z</w:t>
            </w:r>
          </w:p>
        </w:tc>
        <w:tc>
          <w:tcPr>
            <w:tcW w:w="65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2.307</w:t>
            </w:r>
          </w:p>
        </w:tc>
        <w:tc>
          <w:tcPr>
            <w:tcW w:w="621"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2.459</w:t>
            </w:r>
          </w:p>
        </w:tc>
        <w:tc>
          <w:tcPr>
            <w:tcW w:w="562"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2.363</w:t>
            </w:r>
          </w:p>
        </w:tc>
        <w:tc>
          <w:tcPr>
            <w:tcW w:w="924"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2.658</w:t>
            </w:r>
          </w:p>
        </w:tc>
        <w:tc>
          <w:tcPr>
            <w:tcW w:w="565"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w:t>
            </w:r>
            <w:r w:rsidR="00B231E9" w:rsidRPr="009E44F5">
              <w:rPr>
                <w:rFonts w:ascii="Times New Roman" w:hAnsi="Times New Roman" w:cs="Times New Roman"/>
                <w:sz w:val="20"/>
                <w:szCs w:val="20"/>
              </w:rPr>
              <w:t>8</w:t>
            </w:r>
          </w:p>
        </w:tc>
      </w:tr>
      <w:tr w:rsidR="009E44F5" w:rsidRPr="009E44F5" w:rsidTr="00944BB1">
        <w:trPr>
          <w:trHeight w:val="290"/>
          <w:jc w:val="center"/>
        </w:trPr>
        <w:tc>
          <w:tcPr>
            <w:tcW w:w="113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Leverage</w:t>
            </w:r>
          </w:p>
        </w:tc>
        <w:tc>
          <w:tcPr>
            <w:tcW w:w="65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0.217</w:t>
            </w:r>
          </w:p>
        </w:tc>
        <w:tc>
          <w:tcPr>
            <w:tcW w:w="621"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0.187</w:t>
            </w:r>
          </w:p>
        </w:tc>
        <w:tc>
          <w:tcPr>
            <w:tcW w:w="562"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0.236</w:t>
            </w:r>
          </w:p>
        </w:tc>
        <w:tc>
          <w:tcPr>
            <w:tcW w:w="924"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0.251*</w:t>
            </w:r>
          </w:p>
        </w:tc>
        <w:tc>
          <w:tcPr>
            <w:tcW w:w="565"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w:t>
            </w:r>
            <w:r w:rsidR="00B231E9" w:rsidRPr="009E44F5">
              <w:rPr>
                <w:rFonts w:ascii="Times New Roman" w:hAnsi="Times New Roman" w:cs="Times New Roman"/>
                <w:sz w:val="20"/>
                <w:szCs w:val="20"/>
              </w:rPr>
              <w:t>8</w:t>
            </w:r>
          </w:p>
        </w:tc>
      </w:tr>
      <w:tr w:rsidR="009E44F5" w:rsidRPr="009E44F5" w:rsidTr="00944BB1">
        <w:trPr>
          <w:trHeight w:val="290"/>
          <w:jc w:val="center"/>
        </w:trPr>
        <w:tc>
          <w:tcPr>
            <w:tcW w:w="1138" w:type="pct"/>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Dividend</w:t>
            </w:r>
          </w:p>
        </w:tc>
        <w:tc>
          <w:tcPr>
            <w:tcW w:w="650" w:type="pct"/>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0.666</w:t>
            </w:r>
          </w:p>
        </w:tc>
        <w:tc>
          <w:tcPr>
            <w:tcW w:w="621"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p>
        </w:tc>
        <w:tc>
          <w:tcPr>
            <w:tcW w:w="562"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0.531</w:t>
            </w:r>
          </w:p>
        </w:tc>
        <w:tc>
          <w:tcPr>
            <w:tcW w:w="924" w:type="pct"/>
            <w:gridSpan w:val="2"/>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p>
        </w:tc>
        <w:tc>
          <w:tcPr>
            <w:tcW w:w="565" w:type="pct"/>
            <w:gridSpan w:val="2"/>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118</w:t>
            </w:r>
          </w:p>
        </w:tc>
      </w:tr>
      <w:tr w:rsidR="009E44F5" w:rsidRPr="009E44F5" w:rsidTr="00944BB1">
        <w:trPr>
          <w:trHeight w:val="290"/>
          <w:jc w:val="center"/>
        </w:trPr>
        <w:tc>
          <w:tcPr>
            <w:tcW w:w="1138" w:type="pct"/>
            <w:tcBorders>
              <w:bottom w:val="single" w:sz="4" w:space="0" w:color="auto"/>
            </w:tcBorders>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Cash</w:t>
            </w:r>
          </w:p>
        </w:tc>
        <w:tc>
          <w:tcPr>
            <w:tcW w:w="650" w:type="pct"/>
            <w:tcBorders>
              <w:bottom w:val="single" w:sz="4" w:space="0" w:color="auto"/>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0.022</w:t>
            </w:r>
          </w:p>
        </w:tc>
        <w:tc>
          <w:tcPr>
            <w:tcW w:w="621" w:type="pct"/>
            <w:gridSpan w:val="2"/>
            <w:tcBorders>
              <w:bottom w:val="single" w:sz="4" w:space="0" w:color="auto"/>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0.009</w:t>
            </w:r>
          </w:p>
        </w:tc>
        <w:tc>
          <w:tcPr>
            <w:tcW w:w="562" w:type="pct"/>
            <w:gridSpan w:val="2"/>
            <w:tcBorders>
              <w:bottom w:val="single" w:sz="4" w:space="0" w:color="auto"/>
            </w:tcBorders>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w:t>
            </w:r>
          </w:p>
        </w:tc>
        <w:tc>
          <w:tcPr>
            <w:tcW w:w="540" w:type="pct"/>
            <w:gridSpan w:val="2"/>
            <w:tcBorders>
              <w:bottom w:val="single" w:sz="4" w:space="0" w:color="auto"/>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0.054*</w:t>
            </w:r>
          </w:p>
        </w:tc>
        <w:tc>
          <w:tcPr>
            <w:tcW w:w="924" w:type="pct"/>
            <w:gridSpan w:val="2"/>
            <w:tcBorders>
              <w:bottom w:val="single" w:sz="4" w:space="0" w:color="auto"/>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0.015*</w:t>
            </w:r>
          </w:p>
        </w:tc>
        <w:tc>
          <w:tcPr>
            <w:tcW w:w="565" w:type="pct"/>
            <w:gridSpan w:val="2"/>
            <w:tcBorders>
              <w:bottom w:val="single" w:sz="4" w:space="0" w:color="auto"/>
            </w:tcBorders>
          </w:tcPr>
          <w:p w:rsidR="00B231E9" w:rsidRPr="009E44F5" w:rsidRDefault="00040543"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w:t>
            </w:r>
            <w:r w:rsidR="00B231E9" w:rsidRPr="009E44F5">
              <w:rPr>
                <w:rFonts w:ascii="Times New Roman" w:hAnsi="Times New Roman" w:cs="Times New Roman"/>
                <w:sz w:val="20"/>
                <w:szCs w:val="20"/>
              </w:rPr>
              <w:t>8</w:t>
            </w:r>
          </w:p>
        </w:tc>
      </w:tr>
      <w:tr w:rsidR="009E44F5" w:rsidRPr="009E44F5" w:rsidTr="00405A24">
        <w:trPr>
          <w:trHeight w:val="290"/>
          <w:jc w:val="center"/>
        </w:trPr>
        <w:tc>
          <w:tcPr>
            <w:tcW w:w="5000" w:type="pct"/>
            <w:gridSpan w:val="12"/>
          </w:tcPr>
          <w:p w:rsidR="00B231E9" w:rsidRPr="009E44F5" w:rsidRDefault="00B231E9" w:rsidP="00405A24">
            <w:pPr>
              <w:autoSpaceDE w:val="0"/>
              <w:autoSpaceDN w:val="0"/>
              <w:adjustRightInd w:val="0"/>
              <w:spacing w:after="0" w:line="240" w:lineRule="auto"/>
              <w:rPr>
                <w:rFonts w:ascii="Times New Roman" w:hAnsi="Times New Roman" w:cs="Times New Roman"/>
                <w:b/>
                <w:sz w:val="20"/>
                <w:szCs w:val="20"/>
              </w:rPr>
            </w:pPr>
          </w:p>
          <w:p w:rsidR="00B231E9" w:rsidRPr="009E44F5" w:rsidRDefault="00B231E9" w:rsidP="00405A24">
            <w:pPr>
              <w:autoSpaceDE w:val="0"/>
              <w:autoSpaceDN w:val="0"/>
              <w:adjustRightInd w:val="0"/>
              <w:spacing w:after="0" w:line="240" w:lineRule="auto"/>
              <w:rPr>
                <w:rFonts w:ascii="Times New Roman" w:hAnsi="Times New Roman" w:cs="Times New Roman"/>
                <w:b/>
                <w:sz w:val="20"/>
                <w:szCs w:val="20"/>
              </w:rPr>
            </w:pPr>
            <w:r w:rsidRPr="009E44F5">
              <w:rPr>
                <w:rFonts w:ascii="Times New Roman" w:hAnsi="Times New Roman" w:cs="Times New Roman"/>
                <w:b/>
                <w:sz w:val="20"/>
                <w:szCs w:val="20"/>
              </w:rPr>
              <w:t>Panel D: Control Group 2 - Expensed Option pay using fair-value method in Pre-FAS 123R</w:t>
            </w:r>
          </w:p>
        </w:tc>
      </w:tr>
      <w:tr w:rsidR="009E44F5" w:rsidRPr="009E44F5" w:rsidTr="00944BB1">
        <w:trPr>
          <w:trHeight w:val="290"/>
          <w:jc w:val="center"/>
        </w:trPr>
        <w:tc>
          <w:tcPr>
            <w:tcW w:w="1138" w:type="pct"/>
            <w:tcBorders>
              <w:top w:val="single" w:sz="2" w:space="0" w:color="000000"/>
            </w:tcBorders>
          </w:tcPr>
          <w:p w:rsidR="00B231E9" w:rsidRPr="009E44F5" w:rsidRDefault="00B231E9" w:rsidP="00405A24">
            <w:pPr>
              <w:autoSpaceDE w:val="0"/>
              <w:autoSpaceDN w:val="0"/>
              <w:adjustRightInd w:val="0"/>
              <w:spacing w:after="0" w:line="240" w:lineRule="auto"/>
              <w:jc w:val="right"/>
              <w:rPr>
                <w:rFonts w:ascii="Times New Roman" w:hAnsi="Times New Roman" w:cs="Times New Roman"/>
                <w:sz w:val="20"/>
                <w:szCs w:val="20"/>
              </w:rPr>
            </w:pPr>
          </w:p>
        </w:tc>
        <w:tc>
          <w:tcPr>
            <w:tcW w:w="1852" w:type="pct"/>
            <w:gridSpan w:val="6"/>
            <w:tcBorders>
              <w:top w:val="single" w:sz="2" w:space="0" w:color="000000"/>
            </w:tcBorders>
          </w:tcPr>
          <w:p w:rsidR="00B231E9" w:rsidRPr="009E44F5" w:rsidRDefault="00B231E9" w:rsidP="00405A24">
            <w:pPr>
              <w:autoSpaceDE w:val="0"/>
              <w:autoSpaceDN w:val="0"/>
              <w:adjustRightInd w:val="0"/>
              <w:spacing w:after="0" w:line="240" w:lineRule="auto"/>
              <w:jc w:val="center"/>
              <w:rPr>
                <w:rFonts w:ascii="Times New Roman" w:hAnsi="Times New Roman" w:cs="Times New Roman"/>
                <w:sz w:val="20"/>
                <w:szCs w:val="20"/>
                <w:u w:val="single"/>
              </w:rPr>
            </w:pPr>
            <w:r w:rsidRPr="009E44F5">
              <w:rPr>
                <w:rFonts w:ascii="Times New Roman" w:hAnsi="Times New Roman" w:cs="Times New Roman"/>
                <w:sz w:val="20"/>
                <w:szCs w:val="20"/>
                <w:u w:val="single"/>
              </w:rPr>
              <w:t>Control Group</w:t>
            </w:r>
          </w:p>
        </w:tc>
        <w:tc>
          <w:tcPr>
            <w:tcW w:w="2010" w:type="pct"/>
            <w:gridSpan w:val="5"/>
            <w:tcBorders>
              <w:top w:val="single" w:sz="2" w:space="0" w:color="000000"/>
            </w:tcBorders>
          </w:tcPr>
          <w:p w:rsidR="00B231E9" w:rsidRPr="009E44F5" w:rsidRDefault="00B231E9" w:rsidP="00405A24">
            <w:pPr>
              <w:autoSpaceDE w:val="0"/>
              <w:autoSpaceDN w:val="0"/>
              <w:adjustRightInd w:val="0"/>
              <w:spacing w:after="0" w:line="240" w:lineRule="auto"/>
              <w:jc w:val="center"/>
              <w:rPr>
                <w:rFonts w:ascii="Times New Roman" w:hAnsi="Times New Roman" w:cs="Times New Roman"/>
                <w:u w:val="single"/>
              </w:rPr>
            </w:pPr>
            <w:r w:rsidRPr="009E44F5">
              <w:rPr>
                <w:rFonts w:ascii="Times New Roman" w:hAnsi="Times New Roman" w:cs="Times New Roman"/>
                <w:sz w:val="20"/>
                <w:szCs w:val="20"/>
                <w:u w:val="single"/>
              </w:rPr>
              <w:t>Treated Group</w:t>
            </w:r>
          </w:p>
        </w:tc>
      </w:tr>
      <w:tr w:rsidR="009E44F5" w:rsidRPr="009E44F5" w:rsidTr="00944BB1">
        <w:trPr>
          <w:trHeight w:val="290"/>
          <w:jc w:val="center"/>
        </w:trPr>
        <w:tc>
          <w:tcPr>
            <w:tcW w:w="1138" w:type="pct"/>
            <w:tcBorders>
              <w:bottom w:val="single" w:sz="2" w:space="0" w:color="000000"/>
            </w:tcBorders>
          </w:tcPr>
          <w:p w:rsidR="00B231E9" w:rsidRPr="009E44F5" w:rsidRDefault="00B231E9" w:rsidP="00405A24">
            <w:pPr>
              <w:autoSpaceDE w:val="0"/>
              <w:autoSpaceDN w:val="0"/>
              <w:adjustRightInd w:val="0"/>
              <w:spacing w:after="0" w:line="240" w:lineRule="auto"/>
              <w:rPr>
                <w:rFonts w:ascii="Times New Roman" w:hAnsi="Times New Roman" w:cs="Times New Roman"/>
                <w:sz w:val="20"/>
                <w:szCs w:val="20"/>
              </w:rPr>
            </w:pPr>
          </w:p>
        </w:tc>
        <w:tc>
          <w:tcPr>
            <w:tcW w:w="707" w:type="pct"/>
            <w:gridSpan w:val="2"/>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Mean</w:t>
            </w:r>
          </w:p>
        </w:tc>
        <w:tc>
          <w:tcPr>
            <w:tcW w:w="603" w:type="pct"/>
            <w:gridSpan w:val="2"/>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Median</w:t>
            </w:r>
          </w:p>
        </w:tc>
        <w:tc>
          <w:tcPr>
            <w:tcW w:w="542" w:type="pct"/>
            <w:gridSpan w:val="2"/>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N</w:t>
            </w:r>
          </w:p>
        </w:tc>
        <w:tc>
          <w:tcPr>
            <w:tcW w:w="557" w:type="pct"/>
            <w:gridSpan w:val="2"/>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Mean</w:t>
            </w:r>
          </w:p>
        </w:tc>
        <w:tc>
          <w:tcPr>
            <w:tcW w:w="905" w:type="pct"/>
            <w:gridSpan w:val="2"/>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Median</w:t>
            </w:r>
          </w:p>
        </w:tc>
        <w:tc>
          <w:tcPr>
            <w:tcW w:w="548" w:type="pct"/>
            <w:tcBorders>
              <w:bottom w:val="single" w:sz="2" w:space="0" w:color="000000"/>
            </w:tcBorders>
          </w:tcPr>
          <w:p w:rsidR="00B231E9" w:rsidRPr="009E44F5" w:rsidRDefault="00B231E9" w:rsidP="00944BB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N</w:t>
            </w:r>
          </w:p>
        </w:tc>
      </w:tr>
      <w:tr w:rsidR="009E44F5" w:rsidRPr="009E44F5" w:rsidTr="00944BB1">
        <w:trPr>
          <w:trHeight w:val="290"/>
          <w:jc w:val="center"/>
        </w:trPr>
        <w:tc>
          <w:tcPr>
            <w:tcW w:w="1138" w:type="pct"/>
            <w:tcBorders>
              <w:top w:val="single" w:sz="2" w:space="0" w:color="000000"/>
            </w:tcBorders>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Delta</w:t>
            </w:r>
          </w:p>
        </w:tc>
        <w:tc>
          <w:tcPr>
            <w:tcW w:w="707" w:type="pct"/>
            <w:gridSpan w:val="2"/>
            <w:tcBorders>
              <w:top w:val="single" w:sz="2" w:space="0" w:color="000000"/>
            </w:tcBorders>
            <w:vAlign w:val="center"/>
          </w:tcPr>
          <w:p w:rsidR="00645ECD" w:rsidRPr="009E44F5" w:rsidRDefault="001E625C"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290.672</w:t>
            </w:r>
          </w:p>
        </w:tc>
        <w:tc>
          <w:tcPr>
            <w:tcW w:w="603" w:type="pct"/>
            <w:gridSpan w:val="2"/>
            <w:tcBorders>
              <w:top w:val="single" w:sz="2" w:space="0" w:color="000000"/>
            </w:tcBorders>
            <w:vAlign w:val="center"/>
          </w:tcPr>
          <w:p w:rsidR="00645ECD" w:rsidRPr="009E44F5" w:rsidRDefault="001E625C" w:rsidP="0078288C">
            <w:pPr>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116.719</w:t>
            </w:r>
          </w:p>
        </w:tc>
        <w:tc>
          <w:tcPr>
            <w:tcW w:w="542" w:type="pct"/>
            <w:gridSpan w:val="2"/>
            <w:tcBorders>
              <w:top w:val="single" w:sz="2" w:space="0" w:color="000000"/>
            </w:tcBorders>
            <w:vAlign w:val="center"/>
          </w:tcPr>
          <w:p w:rsidR="00645ECD" w:rsidRPr="009E44F5" w:rsidRDefault="0012752A" w:rsidP="00FE2E7D">
            <w:pPr>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tcBorders>
              <w:top w:val="single" w:sz="2" w:space="0" w:color="000000"/>
            </w:tcBorders>
            <w:vAlign w:val="center"/>
          </w:tcPr>
          <w:p w:rsidR="00645ECD" w:rsidRPr="009E44F5" w:rsidRDefault="001E625C" w:rsidP="00FE2E7D">
            <w:pPr>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436.908</w:t>
            </w:r>
          </w:p>
        </w:tc>
        <w:tc>
          <w:tcPr>
            <w:tcW w:w="905" w:type="pct"/>
            <w:gridSpan w:val="2"/>
            <w:tcBorders>
              <w:top w:val="single" w:sz="2" w:space="0" w:color="000000"/>
            </w:tcBorders>
            <w:vAlign w:val="center"/>
          </w:tcPr>
          <w:p w:rsidR="00645ECD" w:rsidRPr="009E44F5" w:rsidRDefault="001E625C" w:rsidP="00FE2E7D">
            <w:pPr>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176.912</w:t>
            </w:r>
          </w:p>
        </w:tc>
        <w:tc>
          <w:tcPr>
            <w:tcW w:w="548" w:type="pct"/>
            <w:tcBorders>
              <w:top w:val="single" w:sz="2" w:space="0" w:color="000000"/>
            </w:tcBorders>
            <w:vAlign w:val="center"/>
          </w:tcPr>
          <w:p w:rsidR="00645ECD" w:rsidRPr="009E44F5" w:rsidRDefault="0012752A" w:rsidP="00FE2E7D">
            <w:pPr>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Vega</w:t>
            </w:r>
          </w:p>
        </w:tc>
        <w:tc>
          <w:tcPr>
            <w:tcW w:w="707" w:type="pct"/>
            <w:gridSpan w:val="2"/>
            <w:vAlign w:val="center"/>
          </w:tcPr>
          <w:p w:rsidR="00645ECD" w:rsidRPr="009E44F5" w:rsidRDefault="001E625C"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110.</w:t>
            </w:r>
            <w:r w:rsidR="00B231E9" w:rsidRPr="009E44F5">
              <w:rPr>
                <w:rFonts w:ascii="Times New Roman" w:hAnsi="Times New Roman" w:cs="Times New Roman"/>
                <w:sz w:val="20"/>
                <w:szCs w:val="20"/>
              </w:rPr>
              <w:t>2</w:t>
            </w:r>
            <w:r w:rsidRPr="009E44F5">
              <w:rPr>
                <w:rFonts w:ascii="Times New Roman" w:hAnsi="Times New Roman" w:cs="Times New Roman"/>
                <w:sz w:val="20"/>
                <w:szCs w:val="20"/>
              </w:rPr>
              <w:t>63</w:t>
            </w:r>
          </w:p>
        </w:tc>
        <w:tc>
          <w:tcPr>
            <w:tcW w:w="603" w:type="pct"/>
            <w:gridSpan w:val="2"/>
            <w:vAlign w:val="center"/>
          </w:tcPr>
          <w:p w:rsidR="00645ECD" w:rsidRPr="009E44F5" w:rsidRDefault="001E625C"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86.</w:t>
            </w:r>
            <w:r w:rsidR="00B231E9" w:rsidRPr="009E44F5">
              <w:rPr>
                <w:rFonts w:ascii="Times New Roman" w:hAnsi="Times New Roman" w:cs="Times New Roman"/>
                <w:sz w:val="20"/>
                <w:szCs w:val="20"/>
              </w:rPr>
              <w:t>7</w:t>
            </w:r>
            <w:r w:rsidRPr="009E44F5">
              <w:rPr>
                <w:rFonts w:ascii="Times New Roman" w:hAnsi="Times New Roman" w:cs="Times New Roman"/>
                <w:sz w:val="20"/>
                <w:szCs w:val="20"/>
              </w:rPr>
              <w:t>57</w:t>
            </w:r>
          </w:p>
        </w:tc>
        <w:tc>
          <w:tcPr>
            <w:tcW w:w="542"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vAlign w:val="center"/>
          </w:tcPr>
          <w:p w:rsidR="00645ECD" w:rsidRPr="009E44F5" w:rsidRDefault="001E625C"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110.827</w:t>
            </w:r>
          </w:p>
        </w:tc>
        <w:tc>
          <w:tcPr>
            <w:tcW w:w="905" w:type="pct"/>
            <w:gridSpan w:val="2"/>
            <w:vAlign w:val="center"/>
          </w:tcPr>
          <w:p w:rsidR="00645ECD" w:rsidRPr="009E44F5" w:rsidRDefault="001E625C"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39.363</w:t>
            </w:r>
          </w:p>
        </w:tc>
        <w:tc>
          <w:tcPr>
            <w:tcW w:w="548" w:type="pct"/>
            <w:vAlign w:val="center"/>
          </w:tcPr>
          <w:p w:rsidR="00645ECD" w:rsidRPr="009E44F5" w:rsidRDefault="001E625C"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Option Pay/Total Pay</w:t>
            </w:r>
          </w:p>
        </w:tc>
        <w:tc>
          <w:tcPr>
            <w:tcW w:w="707" w:type="pct"/>
            <w:gridSpan w:val="2"/>
            <w:vAlign w:val="center"/>
          </w:tcPr>
          <w:p w:rsidR="00645ECD" w:rsidRPr="009E44F5" w:rsidRDefault="00B231E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0.246</w:t>
            </w:r>
          </w:p>
        </w:tc>
        <w:tc>
          <w:tcPr>
            <w:tcW w:w="603" w:type="pct"/>
            <w:gridSpan w:val="2"/>
            <w:vAlign w:val="center"/>
          </w:tcPr>
          <w:p w:rsidR="00645ECD" w:rsidRPr="009E44F5" w:rsidRDefault="00B231E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0.239</w:t>
            </w:r>
          </w:p>
        </w:tc>
        <w:tc>
          <w:tcPr>
            <w:tcW w:w="542"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0.218</w:t>
            </w:r>
          </w:p>
        </w:tc>
        <w:tc>
          <w:tcPr>
            <w:tcW w:w="905"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0.118*</w:t>
            </w:r>
          </w:p>
        </w:tc>
        <w:tc>
          <w:tcPr>
            <w:tcW w:w="548" w:type="pct"/>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Total Pay</w:t>
            </w:r>
          </w:p>
        </w:tc>
        <w:tc>
          <w:tcPr>
            <w:tcW w:w="707" w:type="pct"/>
            <w:gridSpan w:val="2"/>
            <w:vAlign w:val="center"/>
          </w:tcPr>
          <w:p w:rsidR="00645ECD" w:rsidRPr="009E44F5" w:rsidRDefault="00B231E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5</w:t>
            </w:r>
            <w:r w:rsidR="00552458">
              <w:rPr>
                <w:rFonts w:ascii="Times New Roman" w:hAnsi="Times New Roman" w:cs="Times New Roman"/>
                <w:sz w:val="20"/>
                <w:szCs w:val="20"/>
              </w:rPr>
              <w:t>,</w:t>
            </w:r>
            <w:r w:rsidRPr="009E44F5">
              <w:rPr>
                <w:rFonts w:ascii="Times New Roman" w:hAnsi="Times New Roman" w:cs="Times New Roman"/>
                <w:sz w:val="20"/>
                <w:szCs w:val="20"/>
              </w:rPr>
              <w:t>212.04</w:t>
            </w:r>
          </w:p>
        </w:tc>
        <w:tc>
          <w:tcPr>
            <w:tcW w:w="603" w:type="pct"/>
            <w:gridSpan w:val="2"/>
            <w:vAlign w:val="center"/>
          </w:tcPr>
          <w:p w:rsidR="00645ECD" w:rsidRPr="009E44F5" w:rsidRDefault="00B231E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w:t>
            </w:r>
            <w:r w:rsidR="00552458">
              <w:rPr>
                <w:rFonts w:ascii="Times New Roman" w:hAnsi="Times New Roman" w:cs="Times New Roman"/>
                <w:sz w:val="20"/>
                <w:szCs w:val="20"/>
              </w:rPr>
              <w:t>,</w:t>
            </w:r>
            <w:r w:rsidRPr="009E44F5">
              <w:rPr>
                <w:rFonts w:ascii="Times New Roman" w:hAnsi="Times New Roman" w:cs="Times New Roman"/>
                <w:sz w:val="20"/>
                <w:szCs w:val="20"/>
              </w:rPr>
              <w:t>577.64</w:t>
            </w:r>
          </w:p>
        </w:tc>
        <w:tc>
          <w:tcPr>
            <w:tcW w:w="542"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w:t>
            </w:r>
            <w:r w:rsidR="00552458">
              <w:rPr>
                <w:rFonts w:ascii="Times New Roman" w:hAnsi="Times New Roman" w:cs="Times New Roman"/>
                <w:sz w:val="20"/>
                <w:szCs w:val="20"/>
              </w:rPr>
              <w:t>,</w:t>
            </w:r>
            <w:r w:rsidRPr="009E44F5">
              <w:rPr>
                <w:rFonts w:ascii="Times New Roman" w:hAnsi="Times New Roman" w:cs="Times New Roman"/>
                <w:sz w:val="20"/>
                <w:szCs w:val="20"/>
              </w:rPr>
              <w:t>375.25</w:t>
            </w:r>
          </w:p>
        </w:tc>
        <w:tc>
          <w:tcPr>
            <w:tcW w:w="905"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w:t>
            </w:r>
            <w:r w:rsidR="00552458">
              <w:rPr>
                <w:rFonts w:ascii="Times New Roman" w:hAnsi="Times New Roman" w:cs="Times New Roman"/>
                <w:sz w:val="20"/>
                <w:szCs w:val="20"/>
              </w:rPr>
              <w:t>,</w:t>
            </w:r>
            <w:r w:rsidRPr="009E44F5">
              <w:rPr>
                <w:rFonts w:ascii="Times New Roman" w:hAnsi="Times New Roman" w:cs="Times New Roman"/>
                <w:sz w:val="20"/>
                <w:szCs w:val="20"/>
              </w:rPr>
              <w:t>787.07</w:t>
            </w:r>
          </w:p>
        </w:tc>
        <w:tc>
          <w:tcPr>
            <w:tcW w:w="548" w:type="pct"/>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Hedge Ratio 1</w:t>
            </w:r>
          </w:p>
        </w:tc>
        <w:tc>
          <w:tcPr>
            <w:tcW w:w="707" w:type="pct"/>
            <w:gridSpan w:val="2"/>
            <w:vAlign w:val="center"/>
          </w:tcPr>
          <w:p w:rsidR="00645ECD" w:rsidRPr="009E44F5" w:rsidRDefault="00B231E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w:t>
            </w:r>
            <w:r w:rsidR="0012752A" w:rsidRPr="009E44F5">
              <w:rPr>
                <w:rFonts w:ascii="Times New Roman" w:hAnsi="Times New Roman" w:cs="Times New Roman"/>
                <w:sz w:val="20"/>
                <w:szCs w:val="20"/>
              </w:rPr>
              <w:t>206</w:t>
            </w:r>
          </w:p>
        </w:tc>
        <w:tc>
          <w:tcPr>
            <w:tcW w:w="603" w:type="pct"/>
            <w:gridSpan w:val="2"/>
            <w:vAlign w:val="center"/>
          </w:tcPr>
          <w:p w:rsidR="00645ECD" w:rsidRPr="009E44F5" w:rsidRDefault="00C9639D"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0.098</w:t>
            </w:r>
          </w:p>
        </w:tc>
        <w:tc>
          <w:tcPr>
            <w:tcW w:w="542"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w:t>
            </w:r>
            <w:r w:rsidR="0012752A" w:rsidRPr="009E44F5">
              <w:rPr>
                <w:rFonts w:ascii="Times New Roman" w:hAnsi="Times New Roman" w:cs="Times New Roman"/>
                <w:sz w:val="20"/>
                <w:szCs w:val="20"/>
              </w:rPr>
              <w:t>217</w:t>
            </w:r>
          </w:p>
        </w:tc>
        <w:tc>
          <w:tcPr>
            <w:tcW w:w="905" w:type="pct"/>
            <w:gridSpan w:val="2"/>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0.083</w:t>
            </w:r>
          </w:p>
        </w:tc>
        <w:tc>
          <w:tcPr>
            <w:tcW w:w="548" w:type="pct"/>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Hedge Ratio 2</w:t>
            </w:r>
          </w:p>
        </w:tc>
        <w:tc>
          <w:tcPr>
            <w:tcW w:w="707" w:type="pct"/>
            <w:gridSpan w:val="2"/>
            <w:vAlign w:val="center"/>
          </w:tcPr>
          <w:p w:rsidR="00645ECD" w:rsidRPr="009E44F5" w:rsidRDefault="00C9639D"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0.018</w:t>
            </w:r>
          </w:p>
        </w:tc>
        <w:tc>
          <w:tcPr>
            <w:tcW w:w="603" w:type="pct"/>
            <w:gridSpan w:val="2"/>
            <w:vAlign w:val="center"/>
          </w:tcPr>
          <w:p w:rsidR="00645ECD" w:rsidRPr="009E44F5" w:rsidRDefault="00B231E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0.008</w:t>
            </w:r>
          </w:p>
        </w:tc>
        <w:tc>
          <w:tcPr>
            <w:tcW w:w="542"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w:t>
            </w:r>
            <w:r w:rsidR="00C9639D" w:rsidRPr="009E44F5">
              <w:rPr>
                <w:rFonts w:ascii="Times New Roman" w:hAnsi="Times New Roman" w:cs="Times New Roman"/>
                <w:sz w:val="20"/>
                <w:szCs w:val="20"/>
              </w:rPr>
              <w:t>3</w:t>
            </w:r>
          </w:p>
        </w:tc>
        <w:tc>
          <w:tcPr>
            <w:tcW w:w="905" w:type="pct"/>
            <w:gridSpan w:val="2"/>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0.007</w:t>
            </w:r>
          </w:p>
        </w:tc>
        <w:tc>
          <w:tcPr>
            <w:tcW w:w="548" w:type="pct"/>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Size</w:t>
            </w:r>
          </w:p>
        </w:tc>
        <w:tc>
          <w:tcPr>
            <w:tcW w:w="707" w:type="pct"/>
            <w:gridSpan w:val="2"/>
            <w:vAlign w:val="center"/>
          </w:tcPr>
          <w:p w:rsidR="00645ECD" w:rsidRPr="009E44F5" w:rsidRDefault="00B231E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8.459</w:t>
            </w:r>
          </w:p>
        </w:tc>
        <w:tc>
          <w:tcPr>
            <w:tcW w:w="603" w:type="pct"/>
            <w:gridSpan w:val="2"/>
            <w:vAlign w:val="center"/>
          </w:tcPr>
          <w:p w:rsidR="00645ECD" w:rsidRPr="009E44F5" w:rsidRDefault="00B231E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8.091</w:t>
            </w:r>
          </w:p>
        </w:tc>
        <w:tc>
          <w:tcPr>
            <w:tcW w:w="542"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7.937*</w:t>
            </w:r>
          </w:p>
        </w:tc>
        <w:tc>
          <w:tcPr>
            <w:tcW w:w="905"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7.604</w:t>
            </w:r>
          </w:p>
        </w:tc>
        <w:tc>
          <w:tcPr>
            <w:tcW w:w="548" w:type="pct"/>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ROA</w:t>
            </w:r>
          </w:p>
        </w:tc>
        <w:tc>
          <w:tcPr>
            <w:tcW w:w="707" w:type="pct"/>
            <w:gridSpan w:val="2"/>
            <w:vAlign w:val="center"/>
          </w:tcPr>
          <w:p w:rsidR="00645ECD" w:rsidRPr="009E44F5" w:rsidRDefault="00B231E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0.080</w:t>
            </w:r>
          </w:p>
        </w:tc>
        <w:tc>
          <w:tcPr>
            <w:tcW w:w="603" w:type="pct"/>
            <w:gridSpan w:val="2"/>
            <w:vAlign w:val="center"/>
          </w:tcPr>
          <w:p w:rsidR="00645ECD" w:rsidRPr="009E44F5" w:rsidRDefault="00B231E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0.082</w:t>
            </w:r>
          </w:p>
        </w:tc>
        <w:tc>
          <w:tcPr>
            <w:tcW w:w="542"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0.080</w:t>
            </w:r>
          </w:p>
        </w:tc>
        <w:tc>
          <w:tcPr>
            <w:tcW w:w="905"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0.079</w:t>
            </w:r>
          </w:p>
        </w:tc>
        <w:tc>
          <w:tcPr>
            <w:tcW w:w="548" w:type="pct"/>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Investment Growth</w:t>
            </w:r>
          </w:p>
        </w:tc>
        <w:tc>
          <w:tcPr>
            <w:tcW w:w="707" w:type="pct"/>
            <w:gridSpan w:val="2"/>
            <w:vAlign w:val="center"/>
          </w:tcPr>
          <w:p w:rsidR="00645ECD" w:rsidRPr="009E44F5" w:rsidRDefault="00B231E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0.188</w:t>
            </w:r>
          </w:p>
        </w:tc>
        <w:tc>
          <w:tcPr>
            <w:tcW w:w="603" w:type="pct"/>
            <w:gridSpan w:val="2"/>
            <w:vAlign w:val="center"/>
          </w:tcPr>
          <w:p w:rsidR="00645ECD" w:rsidRPr="009E44F5" w:rsidRDefault="00B231E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0.185</w:t>
            </w:r>
          </w:p>
        </w:tc>
        <w:tc>
          <w:tcPr>
            <w:tcW w:w="542"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0.204</w:t>
            </w:r>
          </w:p>
        </w:tc>
        <w:tc>
          <w:tcPr>
            <w:tcW w:w="905"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0.189</w:t>
            </w:r>
          </w:p>
        </w:tc>
        <w:tc>
          <w:tcPr>
            <w:tcW w:w="548" w:type="pct"/>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Altman-Z</w:t>
            </w:r>
          </w:p>
        </w:tc>
        <w:tc>
          <w:tcPr>
            <w:tcW w:w="707" w:type="pct"/>
            <w:gridSpan w:val="2"/>
            <w:vAlign w:val="center"/>
          </w:tcPr>
          <w:p w:rsidR="00645ECD" w:rsidRPr="009E44F5" w:rsidRDefault="00B231E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2.146</w:t>
            </w:r>
          </w:p>
        </w:tc>
        <w:tc>
          <w:tcPr>
            <w:tcW w:w="603" w:type="pct"/>
            <w:gridSpan w:val="2"/>
            <w:vAlign w:val="center"/>
          </w:tcPr>
          <w:p w:rsidR="00645ECD" w:rsidRPr="009E44F5" w:rsidRDefault="00B231E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2.119</w:t>
            </w:r>
          </w:p>
        </w:tc>
        <w:tc>
          <w:tcPr>
            <w:tcW w:w="542"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2.704*</w:t>
            </w:r>
          </w:p>
        </w:tc>
        <w:tc>
          <w:tcPr>
            <w:tcW w:w="905"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2.505*</w:t>
            </w:r>
          </w:p>
        </w:tc>
        <w:tc>
          <w:tcPr>
            <w:tcW w:w="548" w:type="pct"/>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Leverage</w:t>
            </w:r>
          </w:p>
        </w:tc>
        <w:tc>
          <w:tcPr>
            <w:tcW w:w="707" w:type="pct"/>
            <w:gridSpan w:val="2"/>
            <w:vAlign w:val="center"/>
          </w:tcPr>
          <w:p w:rsidR="00645ECD" w:rsidRPr="009E44F5" w:rsidRDefault="00B231E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0.244</w:t>
            </w:r>
          </w:p>
        </w:tc>
        <w:tc>
          <w:tcPr>
            <w:tcW w:w="603" w:type="pct"/>
            <w:gridSpan w:val="2"/>
            <w:vAlign w:val="center"/>
          </w:tcPr>
          <w:p w:rsidR="00645ECD" w:rsidRPr="009E44F5" w:rsidRDefault="00B231E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0.240</w:t>
            </w:r>
          </w:p>
        </w:tc>
        <w:tc>
          <w:tcPr>
            <w:tcW w:w="542"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0.227</w:t>
            </w:r>
          </w:p>
        </w:tc>
        <w:tc>
          <w:tcPr>
            <w:tcW w:w="905"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0.241</w:t>
            </w:r>
          </w:p>
        </w:tc>
        <w:tc>
          <w:tcPr>
            <w:tcW w:w="548" w:type="pct"/>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Dividend</w:t>
            </w:r>
          </w:p>
        </w:tc>
        <w:tc>
          <w:tcPr>
            <w:tcW w:w="707" w:type="pct"/>
            <w:gridSpan w:val="2"/>
            <w:vAlign w:val="center"/>
          </w:tcPr>
          <w:p w:rsidR="00645ECD" w:rsidRPr="009E44F5" w:rsidRDefault="00B231E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0.647</w:t>
            </w:r>
          </w:p>
        </w:tc>
        <w:tc>
          <w:tcPr>
            <w:tcW w:w="603" w:type="pct"/>
            <w:gridSpan w:val="2"/>
            <w:vAlign w:val="center"/>
          </w:tcPr>
          <w:p w:rsidR="00645ECD" w:rsidRPr="009E44F5" w:rsidRDefault="00B231E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p>
        </w:tc>
        <w:tc>
          <w:tcPr>
            <w:tcW w:w="542"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0.540</w:t>
            </w:r>
          </w:p>
        </w:tc>
        <w:tc>
          <w:tcPr>
            <w:tcW w:w="905" w:type="pct"/>
            <w:gridSpan w:val="2"/>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p>
        </w:tc>
        <w:tc>
          <w:tcPr>
            <w:tcW w:w="548" w:type="pct"/>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r w:rsidR="009E44F5" w:rsidRPr="009E44F5" w:rsidTr="00944BB1">
        <w:trPr>
          <w:trHeight w:val="290"/>
          <w:jc w:val="center"/>
        </w:trPr>
        <w:tc>
          <w:tcPr>
            <w:tcW w:w="1138" w:type="pct"/>
            <w:tcBorders>
              <w:bottom w:val="single" w:sz="4" w:space="0" w:color="auto"/>
            </w:tcBorders>
            <w:vAlign w:val="center"/>
          </w:tcPr>
          <w:p w:rsidR="00645ECD" w:rsidRPr="009E44F5" w:rsidRDefault="00B231E9"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Cash</w:t>
            </w:r>
          </w:p>
        </w:tc>
        <w:tc>
          <w:tcPr>
            <w:tcW w:w="707" w:type="pct"/>
            <w:gridSpan w:val="2"/>
            <w:tcBorders>
              <w:bottom w:val="single" w:sz="4" w:space="0" w:color="auto"/>
            </w:tcBorders>
            <w:vAlign w:val="center"/>
          </w:tcPr>
          <w:p w:rsidR="00645ECD" w:rsidRPr="009E44F5" w:rsidRDefault="00B231E9" w:rsidP="00552458">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0.027</w:t>
            </w:r>
          </w:p>
        </w:tc>
        <w:tc>
          <w:tcPr>
            <w:tcW w:w="603" w:type="pct"/>
            <w:gridSpan w:val="2"/>
            <w:tcBorders>
              <w:bottom w:val="single" w:sz="4" w:space="0" w:color="auto"/>
            </w:tcBorders>
            <w:vAlign w:val="center"/>
          </w:tcPr>
          <w:p w:rsidR="00645ECD" w:rsidRPr="009E44F5" w:rsidRDefault="00B231E9" w:rsidP="007828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0.012</w:t>
            </w:r>
          </w:p>
        </w:tc>
        <w:tc>
          <w:tcPr>
            <w:tcW w:w="542" w:type="pct"/>
            <w:gridSpan w:val="2"/>
            <w:tcBorders>
              <w:bottom w:val="single" w:sz="4" w:space="0" w:color="auto"/>
            </w:tcBorders>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w:t>
            </w:r>
          </w:p>
        </w:tc>
        <w:tc>
          <w:tcPr>
            <w:tcW w:w="557" w:type="pct"/>
            <w:gridSpan w:val="2"/>
            <w:tcBorders>
              <w:bottom w:val="single" w:sz="4" w:space="0" w:color="auto"/>
            </w:tcBorders>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0.051</w:t>
            </w:r>
          </w:p>
        </w:tc>
        <w:tc>
          <w:tcPr>
            <w:tcW w:w="905" w:type="pct"/>
            <w:gridSpan w:val="2"/>
            <w:tcBorders>
              <w:bottom w:val="single" w:sz="4" w:space="0" w:color="auto"/>
            </w:tcBorders>
            <w:vAlign w:val="center"/>
          </w:tcPr>
          <w:p w:rsidR="00645ECD" w:rsidRPr="009E44F5" w:rsidRDefault="00B231E9"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0.013</w:t>
            </w:r>
          </w:p>
        </w:tc>
        <w:tc>
          <w:tcPr>
            <w:tcW w:w="548" w:type="pct"/>
            <w:tcBorders>
              <w:bottom w:val="single" w:sz="4" w:space="0" w:color="auto"/>
            </w:tcBorders>
            <w:vAlign w:val="center"/>
          </w:tcPr>
          <w:p w:rsidR="00645ECD" w:rsidRPr="009E44F5" w:rsidRDefault="00C9639D" w:rsidP="00FE2E7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128</w:t>
            </w:r>
          </w:p>
        </w:tc>
      </w:tr>
    </w:tbl>
    <w:p w:rsidR="00B231E9" w:rsidRPr="009E44F5" w:rsidRDefault="00B231E9" w:rsidP="00B231E9">
      <w:pPr>
        <w:tabs>
          <w:tab w:val="left" w:pos="1134"/>
          <w:tab w:val="left" w:pos="3402"/>
          <w:tab w:val="left" w:pos="4111"/>
        </w:tabs>
        <w:spacing w:after="120" w:line="240" w:lineRule="auto"/>
        <w:jc w:val="center"/>
        <w:rPr>
          <w:rFonts w:ascii="Times New Roman" w:eastAsia="Times New Roman" w:hAnsi="Times New Roman" w:cs="Times New Roman"/>
          <w:b/>
          <w:sz w:val="24"/>
          <w:szCs w:val="24"/>
        </w:rPr>
      </w:pPr>
    </w:p>
    <w:p w:rsidR="00B231E9" w:rsidRPr="009E44F5" w:rsidRDefault="00B231E9" w:rsidP="00B231E9">
      <w:pPr>
        <w:rPr>
          <w:rFonts w:ascii="Times New Roman" w:eastAsia="Times New Roman" w:hAnsi="Times New Roman" w:cs="Times New Roman"/>
          <w:b/>
          <w:sz w:val="24"/>
          <w:szCs w:val="24"/>
        </w:rPr>
      </w:pPr>
      <w:r w:rsidRPr="009E44F5">
        <w:rPr>
          <w:rFonts w:ascii="Times New Roman" w:eastAsia="Times New Roman" w:hAnsi="Times New Roman" w:cs="Times New Roman"/>
          <w:b/>
          <w:sz w:val="24"/>
          <w:szCs w:val="24"/>
        </w:rPr>
        <w:br w:type="page"/>
      </w:r>
    </w:p>
    <w:p w:rsidR="00681942" w:rsidRPr="009E44F5" w:rsidRDefault="00681942" w:rsidP="00681942">
      <w:pPr>
        <w:spacing w:after="0"/>
        <w:jc w:val="center"/>
        <w:rPr>
          <w:rFonts w:ascii="Times New Roman" w:eastAsia="Times New Roman" w:hAnsi="Times New Roman" w:cs="Times New Roman"/>
          <w:b/>
          <w:sz w:val="24"/>
          <w:szCs w:val="24"/>
        </w:rPr>
      </w:pPr>
    </w:p>
    <w:p w:rsidR="00B231E9" w:rsidRPr="009E44F5" w:rsidRDefault="00D66D48" w:rsidP="00B231E9">
      <w:pPr>
        <w:spacing w:after="0"/>
        <w:jc w:val="center"/>
        <w:rPr>
          <w:rFonts w:ascii="Times New Roman" w:eastAsia="Times New Roman" w:hAnsi="Times New Roman" w:cs="Times New Roman"/>
          <w:b/>
          <w:sz w:val="24"/>
          <w:szCs w:val="24"/>
        </w:rPr>
      </w:pPr>
      <w:proofErr w:type="gramStart"/>
      <w:r w:rsidRPr="009E44F5">
        <w:rPr>
          <w:rFonts w:ascii="Times New Roman" w:eastAsia="Times New Roman" w:hAnsi="Times New Roman" w:cs="Times New Roman"/>
          <w:b/>
          <w:sz w:val="24"/>
          <w:szCs w:val="24"/>
        </w:rPr>
        <w:t>Table 2</w:t>
      </w:r>
      <w:r w:rsidR="009E017D" w:rsidRPr="009E44F5">
        <w:rPr>
          <w:rFonts w:ascii="Times New Roman" w:eastAsia="Times New Roman" w:hAnsi="Times New Roman" w:cs="Times New Roman"/>
          <w:b/>
          <w:sz w:val="24"/>
          <w:szCs w:val="24"/>
        </w:rPr>
        <w:t>.</w:t>
      </w:r>
      <w:proofErr w:type="gramEnd"/>
      <w:r w:rsidR="009E017D" w:rsidRPr="009E44F5">
        <w:rPr>
          <w:rFonts w:ascii="Times New Roman" w:eastAsia="Times New Roman" w:hAnsi="Times New Roman" w:cs="Times New Roman"/>
          <w:b/>
          <w:sz w:val="24"/>
          <w:szCs w:val="24"/>
        </w:rPr>
        <w:t xml:space="preserve"> </w:t>
      </w:r>
      <w:r w:rsidRPr="009E44F5">
        <w:rPr>
          <w:rFonts w:ascii="Times New Roman" w:eastAsia="Times New Roman" w:hAnsi="Times New Roman" w:cs="Times New Roman"/>
          <w:b/>
          <w:sz w:val="24"/>
          <w:szCs w:val="24"/>
        </w:rPr>
        <w:t>Difference</w:t>
      </w:r>
      <w:r w:rsidR="001F6D05">
        <w:rPr>
          <w:rFonts w:ascii="Times New Roman" w:eastAsia="Times New Roman" w:hAnsi="Times New Roman" w:cs="Times New Roman"/>
          <w:b/>
          <w:sz w:val="24"/>
          <w:szCs w:val="24"/>
        </w:rPr>
        <w:t>s</w:t>
      </w:r>
      <w:r w:rsidRPr="009E44F5">
        <w:rPr>
          <w:rFonts w:ascii="Times New Roman" w:eastAsia="Times New Roman" w:hAnsi="Times New Roman" w:cs="Times New Roman"/>
          <w:b/>
          <w:sz w:val="24"/>
          <w:szCs w:val="24"/>
        </w:rPr>
        <w:t>-in-Difference</w:t>
      </w:r>
      <w:r w:rsidR="001F6D05">
        <w:rPr>
          <w:rFonts w:ascii="Times New Roman" w:eastAsia="Times New Roman" w:hAnsi="Times New Roman" w:cs="Times New Roman"/>
          <w:b/>
          <w:sz w:val="24"/>
          <w:szCs w:val="24"/>
        </w:rPr>
        <w:t>s</w:t>
      </w:r>
      <w:r w:rsidRPr="009E44F5">
        <w:rPr>
          <w:rFonts w:ascii="Times New Roman" w:eastAsia="Times New Roman" w:hAnsi="Times New Roman" w:cs="Times New Roman"/>
          <w:b/>
          <w:sz w:val="24"/>
          <w:szCs w:val="24"/>
        </w:rPr>
        <w:t xml:space="preserve"> Regressions: Vegas and Deltas</w:t>
      </w:r>
    </w:p>
    <w:p w:rsidR="00681942" w:rsidRPr="009E44F5" w:rsidRDefault="00D66D48" w:rsidP="00B231E9">
      <w:pPr>
        <w:jc w:val="both"/>
        <w:rPr>
          <w:rFonts w:ascii="Times New Roman" w:eastAsia="Times New Roman" w:hAnsi="Times New Roman" w:cs="Times New Roman"/>
          <w:b/>
          <w:sz w:val="24"/>
          <w:szCs w:val="24"/>
        </w:rPr>
      </w:pPr>
      <w:r w:rsidRPr="009E44F5">
        <w:rPr>
          <w:rFonts w:ascii="Times New Roman" w:eastAsia="Times New Roman" w:hAnsi="Times New Roman" w:cs="Times New Roman"/>
          <w:sz w:val="20"/>
          <w:szCs w:val="20"/>
        </w:rPr>
        <w:t>This table contains the results of estimating difference</w:t>
      </w:r>
      <w:r w:rsidR="001F6D05">
        <w:rPr>
          <w:rFonts w:ascii="Times New Roman" w:eastAsia="Times New Roman" w:hAnsi="Times New Roman" w:cs="Times New Roman"/>
          <w:sz w:val="20"/>
          <w:szCs w:val="20"/>
        </w:rPr>
        <w:t>s</w:t>
      </w:r>
      <w:r w:rsidRPr="009E44F5">
        <w:rPr>
          <w:rFonts w:ascii="Times New Roman" w:eastAsia="Times New Roman" w:hAnsi="Times New Roman" w:cs="Times New Roman"/>
          <w:sz w:val="20"/>
          <w:szCs w:val="20"/>
        </w:rPr>
        <w:t>-in-difference</w:t>
      </w:r>
      <w:r w:rsidR="001F6D05">
        <w:rPr>
          <w:rFonts w:ascii="Times New Roman" w:eastAsia="Times New Roman" w:hAnsi="Times New Roman" w:cs="Times New Roman"/>
          <w:sz w:val="20"/>
          <w:szCs w:val="20"/>
        </w:rPr>
        <w:t>s (DID)</w:t>
      </w:r>
      <w:r w:rsidRPr="009E44F5">
        <w:rPr>
          <w:rFonts w:ascii="Times New Roman" w:eastAsia="Times New Roman" w:hAnsi="Times New Roman" w:cs="Times New Roman"/>
          <w:sz w:val="20"/>
          <w:szCs w:val="20"/>
        </w:rPr>
        <w:t xml:space="preserve"> regressions to investigate to effect of FAS 123R on delta and </w:t>
      </w:r>
      <w:proofErr w:type="spellStart"/>
      <w:proofErr w:type="gramStart"/>
      <w:r w:rsidRPr="009E44F5">
        <w:rPr>
          <w:rFonts w:ascii="Times New Roman" w:eastAsia="Times New Roman" w:hAnsi="Times New Roman" w:cs="Times New Roman"/>
          <w:sz w:val="20"/>
          <w:szCs w:val="20"/>
        </w:rPr>
        <w:t>vega</w:t>
      </w:r>
      <w:proofErr w:type="spellEnd"/>
      <w:proofErr w:type="gramEnd"/>
      <w:r w:rsidRPr="009E44F5">
        <w:rPr>
          <w:rFonts w:ascii="Times New Roman" w:eastAsia="Times New Roman" w:hAnsi="Times New Roman" w:cs="Times New Roman"/>
          <w:sz w:val="20"/>
          <w:szCs w:val="20"/>
        </w:rPr>
        <w:t xml:space="preserve">. The dependent variable in all specifications is </w:t>
      </w:r>
      <w:proofErr w:type="spellStart"/>
      <w:proofErr w:type="gramStart"/>
      <w:r w:rsidRPr="009E44F5">
        <w:rPr>
          <w:rFonts w:ascii="Times New Roman" w:eastAsia="Times New Roman" w:hAnsi="Times New Roman" w:cs="Times New Roman"/>
          <w:sz w:val="20"/>
          <w:szCs w:val="20"/>
        </w:rPr>
        <w:t>vega</w:t>
      </w:r>
      <w:proofErr w:type="spellEnd"/>
      <w:proofErr w:type="gramEnd"/>
      <w:r w:rsidRPr="009E44F5">
        <w:rPr>
          <w:rFonts w:ascii="Times New Roman" w:eastAsia="Times New Roman" w:hAnsi="Times New Roman" w:cs="Times New Roman"/>
          <w:sz w:val="20"/>
          <w:szCs w:val="20"/>
        </w:rPr>
        <w:t xml:space="preserve">. </w:t>
      </w:r>
      <w:r w:rsidRPr="009E44F5">
        <w:rPr>
          <w:rFonts w:ascii="Times New Roman" w:eastAsia="Times New Roman" w:hAnsi="Times New Roman" w:cs="Times New Roman"/>
          <w:i/>
          <w:sz w:val="20"/>
          <w:szCs w:val="20"/>
        </w:rPr>
        <w:t>Post-FAS 123R</w:t>
      </w:r>
      <w:r w:rsidRPr="009E44F5">
        <w:rPr>
          <w:rFonts w:ascii="Times New Roman" w:eastAsia="Times New Roman" w:hAnsi="Times New Roman" w:cs="Times New Roman"/>
          <w:sz w:val="20"/>
          <w:szCs w:val="20"/>
        </w:rPr>
        <w:t xml:space="preserve"> is an indicator variable equal to one if the observation is after the adoption of FAS 123R. </w:t>
      </w:r>
      <w:r w:rsidRPr="009E44F5">
        <w:rPr>
          <w:rFonts w:ascii="Times New Roman" w:eastAsia="Times New Roman" w:hAnsi="Times New Roman" w:cs="Times New Roman"/>
          <w:i/>
          <w:sz w:val="20"/>
          <w:szCs w:val="20"/>
        </w:rPr>
        <w:t>Treated</w:t>
      </w:r>
      <w:r w:rsidRPr="009E44F5">
        <w:rPr>
          <w:rFonts w:ascii="Times New Roman" w:eastAsia="Times New Roman" w:hAnsi="Times New Roman" w:cs="Times New Roman"/>
          <w:sz w:val="20"/>
          <w:szCs w:val="20"/>
        </w:rPr>
        <w:t xml:space="preserve"> is an indicator variable that is one if the observation is part of the treated group. </w:t>
      </w:r>
      <w:r w:rsidRPr="009E44F5">
        <w:rPr>
          <w:rFonts w:ascii="Times New Roman" w:eastAsia="Times New Roman" w:hAnsi="Times New Roman" w:cs="Times New Roman"/>
          <w:i/>
          <w:sz w:val="20"/>
          <w:szCs w:val="20"/>
        </w:rPr>
        <w:t>Treated</w:t>
      </w:r>
      <w:r w:rsidRPr="009E44F5">
        <w:rPr>
          <w:rFonts w:ascii="Times New Roman" w:eastAsia="Times New Roman" w:hAnsi="Times New Roman" w:cs="Times New Roman"/>
          <w:sz w:val="20"/>
          <w:szCs w:val="20"/>
        </w:rPr>
        <w:t xml:space="preserve"> is equal to zero if the firm if in the control group. </w:t>
      </w:r>
      <w:r w:rsidRPr="009E44F5">
        <w:rPr>
          <w:rFonts w:ascii="Times New Roman" w:eastAsia="Times New Roman" w:hAnsi="Times New Roman" w:cs="Times New Roman"/>
          <w:i/>
          <w:sz w:val="20"/>
          <w:szCs w:val="20"/>
        </w:rPr>
        <w:t>Control Group 1</w:t>
      </w:r>
      <w:r w:rsidRPr="009E44F5">
        <w:rPr>
          <w:rFonts w:ascii="Times New Roman" w:eastAsia="Times New Roman" w:hAnsi="Times New Roman" w:cs="Times New Roman"/>
          <w:sz w:val="20"/>
          <w:szCs w:val="20"/>
        </w:rPr>
        <w:t xml:space="preserve"> are firms that did not have option pay prior to FAS 123R. </w:t>
      </w:r>
      <w:r w:rsidRPr="009E44F5">
        <w:rPr>
          <w:rFonts w:ascii="Times New Roman" w:eastAsia="Times New Roman" w:hAnsi="Times New Roman" w:cs="Times New Roman"/>
          <w:i/>
          <w:sz w:val="20"/>
          <w:szCs w:val="20"/>
        </w:rPr>
        <w:t>Control Group 2</w:t>
      </w:r>
      <w:r w:rsidRPr="009E44F5">
        <w:rPr>
          <w:rFonts w:ascii="Times New Roman" w:eastAsia="Times New Roman" w:hAnsi="Times New Roman" w:cs="Times New Roman"/>
          <w:sz w:val="20"/>
          <w:szCs w:val="20"/>
        </w:rPr>
        <w:t xml:space="preserve"> are firms that adopted the fair value method prior to FAS 123R. </w:t>
      </w:r>
      <w:r w:rsidRPr="009E44F5">
        <w:rPr>
          <w:rFonts w:ascii="Times New Roman" w:eastAsia="Times New Roman" w:hAnsi="Times New Roman" w:cs="Times New Roman"/>
          <w:i/>
          <w:sz w:val="20"/>
          <w:szCs w:val="20"/>
        </w:rPr>
        <w:t>Treated *Post-FAS 123R</w:t>
      </w:r>
      <w:r w:rsidRPr="009E44F5">
        <w:rPr>
          <w:rFonts w:ascii="Times New Roman" w:eastAsia="Times New Roman" w:hAnsi="Times New Roman" w:cs="Times New Roman"/>
          <w:sz w:val="20"/>
          <w:szCs w:val="20"/>
        </w:rPr>
        <w:t xml:space="preserve"> is the </w:t>
      </w:r>
      <w:r w:rsidR="00085B03">
        <w:rPr>
          <w:rFonts w:ascii="Times New Roman" w:eastAsia="Times New Roman" w:hAnsi="Times New Roman" w:cs="Times New Roman"/>
          <w:sz w:val="20"/>
          <w:szCs w:val="20"/>
        </w:rPr>
        <w:t>DID</w:t>
      </w:r>
      <w:r w:rsidRPr="009E44F5">
        <w:rPr>
          <w:rFonts w:ascii="Times New Roman" w:eastAsia="Times New Roman" w:hAnsi="Times New Roman" w:cs="Times New Roman"/>
          <w:sz w:val="20"/>
          <w:szCs w:val="20"/>
        </w:rPr>
        <w:t xml:space="preserve"> estimate. The table reports p-values in parentheses. All p-values are computed with</w:t>
      </w:r>
      <w:r w:rsidR="00024B22" w:rsidRPr="009E44F5">
        <w:rPr>
          <w:rFonts w:ascii="Times New Roman" w:eastAsia="Times New Roman" w:hAnsi="Times New Roman" w:cs="Times New Roman"/>
          <w:sz w:val="20"/>
          <w:szCs w:val="20"/>
        </w:rPr>
        <w:t xml:space="preserve"> standard errors clustered at the firm level</w:t>
      </w:r>
      <w:r w:rsidRPr="009E44F5">
        <w:rPr>
          <w:rFonts w:ascii="Times New Roman" w:eastAsia="Times New Roman" w:hAnsi="Times New Roman" w:cs="Times New Roman"/>
          <w:sz w:val="20"/>
          <w:szCs w:val="20"/>
        </w:rPr>
        <w:t xml:space="preserve">. </w:t>
      </w:r>
      <w:r w:rsidR="00270BEB" w:rsidRPr="009E44F5">
        <w:rPr>
          <w:rFonts w:ascii="Times New Roman" w:hAnsi="Times New Roman" w:cs="Times New Roman"/>
          <w:sz w:val="20"/>
          <w:szCs w:val="20"/>
        </w:rPr>
        <w:t>The notation ***, ** and * denote statistical significance at the 1%, 5% and 10% level, respectively.</w:t>
      </w:r>
      <w:r w:rsidR="00270BEB" w:rsidRPr="009E44F5">
        <w:rPr>
          <w:rFonts w:ascii="Times New Roman" w:eastAsia="Times New Roman" w:hAnsi="Times New Roman" w:cs="Times New Roman"/>
          <w:sz w:val="20"/>
          <w:szCs w:val="20"/>
        </w:rPr>
        <w:t xml:space="preserve"> The</w:t>
      </w:r>
      <w:r w:rsidRPr="009E44F5">
        <w:rPr>
          <w:rFonts w:ascii="Times New Roman" w:eastAsia="Times New Roman" w:hAnsi="Times New Roman" w:cs="Times New Roman"/>
          <w:sz w:val="20"/>
          <w:szCs w:val="20"/>
        </w:rPr>
        <w:t xml:space="preserve"> var</w:t>
      </w:r>
      <w:r w:rsidR="002E70C5" w:rsidRPr="009E44F5">
        <w:rPr>
          <w:rFonts w:ascii="Times New Roman" w:eastAsia="Times New Roman" w:hAnsi="Times New Roman" w:cs="Times New Roman"/>
          <w:sz w:val="20"/>
          <w:szCs w:val="20"/>
        </w:rPr>
        <w:t>iables are defined in the Appendix</w:t>
      </w:r>
      <w:r w:rsidRPr="009E44F5">
        <w:rPr>
          <w:rFonts w:ascii="Times New Roman" w:eastAsia="Times New Roman" w:hAnsi="Times New Roman" w:cs="Times New Roman"/>
          <w:sz w:val="20"/>
          <w:szCs w:val="20"/>
        </w:rPr>
        <w:t xml:space="preserve">.  </w:t>
      </w:r>
    </w:p>
    <w:tbl>
      <w:tblPr>
        <w:tblpPr w:leftFromText="180" w:rightFromText="180" w:vertAnchor="text" w:tblpXSpec="center" w:tblpY="1"/>
        <w:tblOverlap w:val="never"/>
        <w:tblW w:w="0" w:type="auto"/>
        <w:tblBorders>
          <w:top w:val="single" w:sz="2" w:space="0" w:color="000000"/>
          <w:bottom w:val="single" w:sz="2" w:space="0" w:color="000000"/>
        </w:tblBorders>
        <w:tblLook w:val="0000"/>
      </w:tblPr>
      <w:tblGrid>
        <w:gridCol w:w="2239"/>
        <w:gridCol w:w="1383"/>
        <w:gridCol w:w="1233"/>
        <w:gridCol w:w="1383"/>
        <w:gridCol w:w="1133"/>
      </w:tblGrid>
      <w:tr w:rsidR="009E44F5" w:rsidRPr="009E44F5" w:rsidTr="00D93A8C">
        <w:trPr>
          <w:trHeight w:val="290"/>
        </w:trPr>
        <w:tc>
          <w:tcPr>
            <w:tcW w:w="0" w:type="auto"/>
            <w:tcBorders>
              <w:top w:val="single" w:sz="2" w:space="0" w:color="000000"/>
              <w:bottom w:val="single" w:sz="2" w:space="0" w:color="000000"/>
            </w:tcBorders>
          </w:tcPr>
          <w:p w:rsidR="00681942" w:rsidRPr="009E44F5" w:rsidRDefault="00681942" w:rsidP="00D93A8C">
            <w:pPr>
              <w:autoSpaceDE w:val="0"/>
              <w:autoSpaceDN w:val="0"/>
              <w:adjustRightInd w:val="0"/>
              <w:spacing w:after="0" w:line="240" w:lineRule="auto"/>
              <w:jc w:val="right"/>
              <w:rPr>
                <w:rFonts w:ascii="Times New Roman" w:hAnsi="Times New Roman" w:cs="Times New Roman"/>
                <w:sz w:val="20"/>
                <w:szCs w:val="20"/>
              </w:rPr>
            </w:pPr>
          </w:p>
        </w:tc>
        <w:tc>
          <w:tcPr>
            <w:tcW w:w="0" w:type="auto"/>
            <w:gridSpan w:val="2"/>
            <w:tcBorders>
              <w:top w:val="single" w:sz="2" w:space="0" w:color="000000"/>
              <w:bottom w:val="single" w:sz="2" w:space="0" w:color="000000"/>
            </w:tcBorders>
          </w:tcPr>
          <w:p w:rsidR="00681942" w:rsidRPr="009E44F5" w:rsidRDefault="00681942"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Control Group 1</w:t>
            </w:r>
          </w:p>
        </w:tc>
        <w:tc>
          <w:tcPr>
            <w:tcW w:w="0" w:type="auto"/>
            <w:gridSpan w:val="2"/>
            <w:tcBorders>
              <w:top w:val="single" w:sz="2" w:space="0" w:color="000000"/>
              <w:bottom w:val="single" w:sz="2" w:space="0" w:color="000000"/>
            </w:tcBorders>
          </w:tcPr>
          <w:p w:rsidR="00681942" w:rsidRPr="009E44F5" w:rsidRDefault="00681942"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Control Group 2</w:t>
            </w:r>
          </w:p>
        </w:tc>
      </w:tr>
      <w:tr w:rsidR="009E44F5" w:rsidRPr="009E44F5" w:rsidTr="00D93A8C">
        <w:trPr>
          <w:trHeight w:val="290"/>
        </w:trPr>
        <w:tc>
          <w:tcPr>
            <w:tcW w:w="0" w:type="auto"/>
            <w:tcBorders>
              <w:top w:val="single" w:sz="2" w:space="0" w:color="000000"/>
              <w:bottom w:val="nil"/>
            </w:tcBorders>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p>
        </w:tc>
        <w:tc>
          <w:tcPr>
            <w:tcW w:w="0" w:type="auto"/>
            <w:tcBorders>
              <w:top w:val="single" w:sz="2" w:space="0" w:color="000000"/>
              <w:bottom w:val="nil"/>
            </w:tcBorders>
          </w:tcPr>
          <w:p w:rsidR="00681942" w:rsidRPr="009E44F5" w:rsidRDefault="00681942"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Delta</w:t>
            </w:r>
          </w:p>
        </w:tc>
        <w:tc>
          <w:tcPr>
            <w:tcW w:w="0" w:type="auto"/>
            <w:tcBorders>
              <w:top w:val="single" w:sz="2" w:space="0" w:color="000000"/>
              <w:bottom w:val="nil"/>
            </w:tcBorders>
          </w:tcPr>
          <w:p w:rsidR="00681942" w:rsidRPr="009E44F5" w:rsidRDefault="00681942"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Vega</w:t>
            </w:r>
          </w:p>
        </w:tc>
        <w:tc>
          <w:tcPr>
            <w:tcW w:w="0" w:type="auto"/>
            <w:tcBorders>
              <w:top w:val="single" w:sz="2" w:space="0" w:color="000000"/>
              <w:bottom w:val="nil"/>
            </w:tcBorders>
          </w:tcPr>
          <w:p w:rsidR="00681942" w:rsidRPr="009E44F5" w:rsidRDefault="00681942"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Delta</w:t>
            </w:r>
          </w:p>
        </w:tc>
        <w:tc>
          <w:tcPr>
            <w:tcW w:w="0" w:type="auto"/>
            <w:tcBorders>
              <w:top w:val="single" w:sz="2" w:space="0" w:color="000000"/>
              <w:bottom w:val="nil"/>
            </w:tcBorders>
          </w:tcPr>
          <w:p w:rsidR="00681942" w:rsidRPr="009E44F5" w:rsidRDefault="00681942"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Vega</w:t>
            </w:r>
          </w:p>
        </w:tc>
      </w:tr>
      <w:tr w:rsidR="00552458" w:rsidRPr="009E44F5" w:rsidTr="00944BB1">
        <w:trPr>
          <w:trHeight w:val="290"/>
        </w:trPr>
        <w:tc>
          <w:tcPr>
            <w:tcW w:w="0" w:type="auto"/>
            <w:vMerge w:val="restart"/>
            <w:tcBorders>
              <w:top w:val="single" w:sz="2" w:space="0" w:color="000000"/>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Post-FAS 123R</w:t>
            </w:r>
          </w:p>
        </w:tc>
        <w:tc>
          <w:tcPr>
            <w:tcW w:w="0" w:type="auto"/>
            <w:tcBorders>
              <w:top w:val="single" w:sz="2" w:space="0" w:color="000000"/>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-205.151</w:t>
            </w:r>
          </w:p>
        </w:tc>
        <w:tc>
          <w:tcPr>
            <w:tcW w:w="0" w:type="auto"/>
            <w:tcBorders>
              <w:top w:val="single" w:sz="2" w:space="0" w:color="000000"/>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-22.995</w:t>
            </w:r>
          </w:p>
        </w:tc>
        <w:tc>
          <w:tcPr>
            <w:tcW w:w="0" w:type="auto"/>
            <w:tcBorders>
              <w:top w:val="single" w:sz="2" w:space="0" w:color="000000"/>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-149.705</w:t>
            </w:r>
          </w:p>
        </w:tc>
        <w:tc>
          <w:tcPr>
            <w:tcW w:w="0" w:type="auto"/>
            <w:tcBorders>
              <w:top w:val="single" w:sz="2" w:space="0" w:color="000000"/>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16.541</w:t>
            </w:r>
          </w:p>
        </w:tc>
      </w:tr>
      <w:tr w:rsidR="00552458" w:rsidRPr="009E44F5" w:rsidTr="00944BB1">
        <w:trPr>
          <w:trHeight w:val="290"/>
        </w:trPr>
        <w:tc>
          <w:tcPr>
            <w:tcW w:w="0" w:type="auto"/>
            <w:vMerge/>
            <w:tcBorders>
              <w:bottom w:val="nil"/>
            </w:tcBorders>
            <w:vAlign w:val="center"/>
          </w:tcPr>
          <w:p w:rsidR="00552458" w:rsidRPr="009E44F5" w:rsidRDefault="00552458" w:rsidP="00FE2E7D">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(0.176)</w:t>
            </w:r>
          </w:p>
        </w:tc>
        <w:tc>
          <w:tcPr>
            <w:tcW w:w="0" w:type="auto"/>
            <w:tcBorders>
              <w:top w:val="nil"/>
              <w:bottom w:val="nil"/>
            </w:tcBorders>
          </w:tcPr>
          <w:p w:rsidR="00552458" w:rsidRPr="009E44F5" w:rsidRDefault="00552458" w:rsidP="000F112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(0.564)</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(0.310)</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(0.714)</w:t>
            </w:r>
          </w:p>
        </w:tc>
      </w:tr>
      <w:tr w:rsidR="00552458" w:rsidRPr="009E44F5" w:rsidTr="00944BB1">
        <w:trPr>
          <w:trHeight w:val="290"/>
        </w:trPr>
        <w:tc>
          <w:tcPr>
            <w:tcW w:w="0" w:type="auto"/>
            <w:vMerge w:val="restart"/>
            <w:tcBorders>
              <w:top w:val="nil"/>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Treated</w:t>
            </w:r>
          </w:p>
        </w:tc>
        <w:tc>
          <w:tcPr>
            <w:tcW w:w="0" w:type="auto"/>
            <w:tcBorders>
              <w:top w:val="nil"/>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111.421</w:t>
            </w:r>
          </w:p>
        </w:tc>
        <w:tc>
          <w:tcPr>
            <w:tcW w:w="0" w:type="auto"/>
            <w:tcBorders>
              <w:top w:val="nil"/>
              <w:bottom w:val="nil"/>
            </w:tcBorders>
          </w:tcPr>
          <w:p w:rsidR="00552458" w:rsidRPr="009E44F5" w:rsidRDefault="00552458" w:rsidP="000F112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143.652***</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418.040***</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52.448</w:t>
            </w:r>
          </w:p>
        </w:tc>
      </w:tr>
      <w:tr w:rsidR="00552458" w:rsidRPr="009E44F5" w:rsidTr="00944BB1">
        <w:trPr>
          <w:trHeight w:val="290"/>
        </w:trPr>
        <w:tc>
          <w:tcPr>
            <w:tcW w:w="0" w:type="auto"/>
            <w:vMerge/>
            <w:tcBorders>
              <w:bottom w:val="nil"/>
            </w:tcBorders>
            <w:vAlign w:val="center"/>
          </w:tcPr>
          <w:p w:rsidR="00552458" w:rsidRPr="009E44F5" w:rsidRDefault="00552458" w:rsidP="00FE2E7D">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(0.349)</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(0.187)</w:t>
            </w:r>
          </w:p>
        </w:tc>
      </w:tr>
      <w:tr w:rsidR="00552458" w:rsidRPr="009E44F5" w:rsidTr="00944BB1">
        <w:trPr>
          <w:trHeight w:val="290"/>
        </w:trPr>
        <w:tc>
          <w:tcPr>
            <w:tcW w:w="0" w:type="auto"/>
            <w:vMerge w:val="restart"/>
            <w:tcBorders>
              <w:top w:val="nil"/>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Treated *Post-FAS 123R</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158.881</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-62.567*</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72.810</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-109.447**</w:t>
            </w:r>
          </w:p>
        </w:tc>
      </w:tr>
      <w:tr w:rsidR="00552458" w:rsidRPr="009E44F5" w:rsidTr="00944BB1">
        <w:trPr>
          <w:trHeight w:val="290"/>
        </w:trPr>
        <w:tc>
          <w:tcPr>
            <w:tcW w:w="0" w:type="auto"/>
            <w:vMerge/>
            <w:tcBorders>
              <w:bottom w:val="nil"/>
            </w:tcBorders>
            <w:vAlign w:val="center"/>
          </w:tcPr>
          <w:p w:rsidR="00552458" w:rsidRPr="009E44F5" w:rsidRDefault="00552458" w:rsidP="00FE2E7D">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(0.347)</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(0.094)</w:t>
            </w:r>
          </w:p>
        </w:tc>
        <w:tc>
          <w:tcPr>
            <w:tcW w:w="0" w:type="auto"/>
            <w:tcBorders>
              <w:top w:val="nil"/>
              <w:bottom w:val="nil"/>
            </w:tcBorders>
          </w:tcPr>
          <w:p w:rsidR="00552458" w:rsidRPr="009E44F5" w:rsidRDefault="00552458" w:rsidP="00EB5AA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(0.667)</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(0.036)</w:t>
            </w:r>
          </w:p>
        </w:tc>
      </w:tr>
      <w:tr w:rsidR="00552458" w:rsidRPr="009E44F5" w:rsidTr="00944BB1">
        <w:trPr>
          <w:trHeight w:val="290"/>
        </w:trPr>
        <w:tc>
          <w:tcPr>
            <w:tcW w:w="0" w:type="auto"/>
            <w:vMerge w:val="restart"/>
            <w:tcBorders>
              <w:top w:val="nil"/>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Delta</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0.071***</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0.085***</w:t>
            </w:r>
          </w:p>
        </w:tc>
      </w:tr>
      <w:tr w:rsidR="00552458" w:rsidRPr="009E44F5" w:rsidTr="00944BB1">
        <w:trPr>
          <w:trHeight w:val="290"/>
        </w:trPr>
        <w:tc>
          <w:tcPr>
            <w:tcW w:w="0" w:type="auto"/>
            <w:vMerge/>
            <w:tcBorders>
              <w:bottom w:val="nil"/>
            </w:tcBorders>
            <w:vAlign w:val="center"/>
          </w:tcPr>
          <w:p w:rsidR="00552458" w:rsidRPr="009E44F5" w:rsidRDefault="00552458" w:rsidP="00FE2E7D">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(0.004)</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(0.002)</w:t>
            </w:r>
          </w:p>
        </w:tc>
      </w:tr>
      <w:tr w:rsidR="00552458" w:rsidRPr="009E44F5" w:rsidTr="00944BB1">
        <w:trPr>
          <w:trHeight w:val="290"/>
        </w:trPr>
        <w:tc>
          <w:tcPr>
            <w:tcW w:w="0" w:type="auto"/>
            <w:vMerge w:val="restart"/>
            <w:tcBorders>
              <w:top w:val="nil"/>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Investment Growth</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w:t>
            </w:r>
            <w:r w:rsidR="009E3571">
              <w:rPr>
                <w:rFonts w:ascii="Times New Roman" w:hAnsi="Times New Roman" w:cs="Times New Roman"/>
                <w:sz w:val="20"/>
                <w:szCs w:val="20"/>
              </w:rPr>
              <w:t>,</w:t>
            </w:r>
            <w:r w:rsidRPr="009E44F5">
              <w:rPr>
                <w:rFonts w:ascii="Times New Roman" w:hAnsi="Times New Roman" w:cs="Times New Roman"/>
                <w:sz w:val="20"/>
                <w:szCs w:val="20"/>
              </w:rPr>
              <w:t>391.744***</w:t>
            </w:r>
          </w:p>
        </w:tc>
        <w:tc>
          <w:tcPr>
            <w:tcW w:w="0" w:type="auto"/>
            <w:tcBorders>
              <w:top w:val="nil"/>
              <w:bottom w:val="nil"/>
            </w:tcBorders>
          </w:tcPr>
          <w:p w:rsidR="00552458" w:rsidRPr="009E44F5" w:rsidRDefault="00552458" w:rsidP="000F112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64.459</w:t>
            </w:r>
          </w:p>
        </w:tc>
        <w:tc>
          <w:tcPr>
            <w:tcW w:w="0" w:type="auto"/>
            <w:tcBorders>
              <w:top w:val="nil"/>
              <w:bottom w:val="nil"/>
            </w:tcBorders>
          </w:tcPr>
          <w:p w:rsidR="00552458" w:rsidRPr="009E44F5" w:rsidRDefault="00552458" w:rsidP="00EB5AA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w:t>
            </w:r>
            <w:r w:rsidR="009E3571">
              <w:rPr>
                <w:rFonts w:ascii="Times New Roman" w:hAnsi="Times New Roman" w:cs="Times New Roman"/>
                <w:sz w:val="20"/>
                <w:szCs w:val="20"/>
              </w:rPr>
              <w:t>,</w:t>
            </w:r>
            <w:r w:rsidRPr="009E44F5">
              <w:rPr>
                <w:rFonts w:ascii="Times New Roman" w:hAnsi="Times New Roman" w:cs="Times New Roman"/>
                <w:sz w:val="20"/>
                <w:szCs w:val="20"/>
              </w:rPr>
              <w:t>308.899***</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67.437</w:t>
            </w:r>
          </w:p>
        </w:tc>
      </w:tr>
      <w:tr w:rsidR="00552458" w:rsidRPr="009E44F5" w:rsidTr="00944BB1">
        <w:trPr>
          <w:trHeight w:val="290"/>
        </w:trPr>
        <w:tc>
          <w:tcPr>
            <w:tcW w:w="0" w:type="auto"/>
            <w:vMerge/>
            <w:tcBorders>
              <w:bottom w:val="nil"/>
            </w:tcBorders>
            <w:vAlign w:val="center"/>
          </w:tcPr>
          <w:p w:rsidR="00552458" w:rsidRPr="009E44F5" w:rsidRDefault="00552458" w:rsidP="00FE2E7D">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0" w:type="auto"/>
            <w:tcBorders>
              <w:top w:val="nil"/>
              <w:bottom w:val="nil"/>
            </w:tcBorders>
          </w:tcPr>
          <w:p w:rsidR="00552458" w:rsidRPr="009E44F5" w:rsidRDefault="00552458" w:rsidP="000F112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(0.667)</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(0.677)</w:t>
            </w:r>
          </w:p>
        </w:tc>
      </w:tr>
      <w:tr w:rsidR="00552458" w:rsidRPr="009E44F5" w:rsidTr="00944BB1">
        <w:trPr>
          <w:trHeight w:val="290"/>
        </w:trPr>
        <w:tc>
          <w:tcPr>
            <w:tcW w:w="0" w:type="auto"/>
            <w:vMerge w:val="restart"/>
            <w:tcBorders>
              <w:top w:val="nil"/>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Size</w:t>
            </w:r>
          </w:p>
        </w:tc>
        <w:tc>
          <w:tcPr>
            <w:tcW w:w="0" w:type="auto"/>
            <w:tcBorders>
              <w:top w:val="nil"/>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310.557***</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41.461***</w:t>
            </w:r>
          </w:p>
        </w:tc>
        <w:tc>
          <w:tcPr>
            <w:tcW w:w="0" w:type="auto"/>
            <w:tcBorders>
              <w:top w:val="nil"/>
              <w:bottom w:val="nil"/>
            </w:tcBorders>
          </w:tcPr>
          <w:p w:rsidR="00552458" w:rsidRPr="009E44F5" w:rsidRDefault="00552458" w:rsidP="00EB5AA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369.657***</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39.514**</w:t>
            </w:r>
          </w:p>
        </w:tc>
      </w:tr>
      <w:tr w:rsidR="00552458" w:rsidRPr="009E44F5" w:rsidTr="00944BB1">
        <w:trPr>
          <w:trHeight w:val="290"/>
        </w:trPr>
        <w:tc>
          <w:tcPr>
            <w:tcW w:w="0" w:type="auto"/>
            <w:vMerge/>
            <w:tcBorders>
              <w:bottom w:val="nil"/>
            </w:tcBorders>
            <w:vAlign w:val="center"/>
          </w:tcPr>
          <w:p w:rsidR="00552458" w:rsidRPr="009E44F5" w:rsidRDefault="00552458" w:rsidP="00FE2E7D">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0" w:type="auto"/>
            <w:tcBorders>
              <w:top w:val="nil"/>
              <w:bottom w:val="nil"/>
            </w:tcBorders>
          </w:tcPr>
          <w:p w:rsidR="00552458" w:rsidRPr="009E44F5" w:rsidRDefault="00552458" w:rsidP="000F112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(0.004)</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(0.015)</w:t>
            </w:r>
          </w:p>
        </w:tc>
      </w:tr>
      <w:tr w:rsidR="00552458" w:rsidRPr="009E44F5" w:rsidTr="00944BB1">
        <w:trPr>
          <w:trHeight w:val="290"/>
        </w:trPr>
        <w:tc>
          <w:tcPr>
            <w:tcW w:w="0" w:type="auto"/>
            <w:vMerge w:val="restart"/>
            <w:tcBorders>
              <w:top w:val="nil"/>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Leverage</w:t>
            </w:r>
          </w:p>
        </w:tc>
        <w:tc>
          <w:tcPr>
            <w:tcW w:w="0" w:type="auto"/>
            <w:tcBorders>
              <w:top w:val="nil"/>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414.705</w:t>
            </w:r>
          </w:p>
        </w:tc>
        <w:tc>
          <w:tcPr>
            <w:tcW w:w="0" w:type="auto"/>
            <w:tcBorders>
              <w:top w:val="nil"/>
              <w:bottom w:val="nil"/>
            </w:tcBorders>
          </w:tcPr>
          <w:p w:rsidR="00552458" w:rsidRPr="009E44F5" w:rsidRDefault="00552458"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160.966*</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725.919**</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299.039**</w:t>
            </w:r>
          </w:p>
        </w:tc>
      </w:tr>
      <w:tr w:rsidR="00552458" w:rsidRPr="009E44F5" w:rsidTr="00944BB1">
        <w:trPr>
          <w:trHeight w:val="290"/>
        </w:trPr>
        <w:tc>
          <w:tcPr>
            <w:tcW w:w="0" w:type="auto"/>
            <w:vMerge/>
            <w:tcBorders>
              <w:bottom w:val="nil"/>
            </w:tcBorders>
            <w:vAlign w:val="center"/>
          </w:tcPr>
          <w:p w:rsidR="00552458" w:rsidRPr="009E44F5" w:rsidRDefault="00552458" w:rsidP="00FE2E7D">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(0.440)</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(0.087)</w:t>
            </w:r>
          </w:p>
        </w:tc>
        <w:tc>
          <w:tcPr>
            <w:tcW w:w="0" w:type="auto"/>
            <w:tcBorders>
              <w:top w:val="nil"/>
              <w:bottom w:val="nil"/>
            </w:tcBorders>
          </w:tcPr>
          <w:p w:rsidR="00552458" w:rsidRPr="009E44F5" w:rsidRDefault="00552458" w:rsidP="00EB5AA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(0.134)</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(0.046)</w:t>
            </w:r>
          </w:p>
        </w:tc>
      </w:tr>
      <w:tr w:rsidR="00552458" w:rsidRPr="009E44F5" w:rsidTr="00944BB1">
        <w:trPr>
          <w:trHeight w:val="290"/>
        </w:trPr>
        <w:tc>
          <w:tcPr>
            <w:tcW w:w="0" w:type="auto"/>
            <w:vMerge w:val="restart"/>
            <w:tcBorders>
              <w:top w:val="nil"/>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ROA</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-663.771</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-265.357</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-427.497</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-256.986</w:t>
            </w:r>
          </w:p>
        </w:tc>
      </w:tr>
      <w:tr w:rsidR="00552458" w:rsidRPr="009E44F5" w:rsidTr="00944BB1">
        <w:trPr>
          <w:trHeight w:val="290"/>
        </w:trPr>
        <w:tc>
          <w:tcPr>
            <w:tcW w:w="0" w:type="auto"/>
            <w:vMerge/>
            <w:tcBorders>
              <w:bottom w:val="nil"/>
            </w:tcBorders>
            <w:vAlign w:val="center"/>
          </w:tcPr>
          <w:p w:rsidR="00552458" w:rsidRPr="009E44F5" w:rsidRDefault="00552458" w:rsidP="00FE2E7D">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(0.422)</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(0.222)</w:t>
            </w:r>
          </w:p>
        </w:tc>
        <w:tc>
          <w:tcPr>
            <w:tcW w:w="0" w:type="auto"/>
            <w:tcBorders>
              <w:top w:val="nil"/>
              <w:bottom w:val="nil"/>
            </w:tcBorders>
          </w:tcPr>
          <w:p w:rsidR="00552458" w:rsidRPr="009E44F5" w:rsidRDefault="00552458" w:rsidP="00EB5AA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(0.575)</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(0.272)</w:t>
            </w:r>
          </w:p>
        </w:tc>
      </w:tr>
      <w:tr w:rsidR="00552458" w:rsidRPr="009E44F5" w:rsidTr="00944BB1">
        <w:trPr>
          <w:trHeight w:val="290"/>
        </w:trPr>
        <w:tc>
          <w:tcPr>
            <w:tcW w:w="0" w:type="auto"/>
            <w:vMerge w:val="restart"/>
            <w:tcBorders>
              <w:top w:val="nil"/>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Altman-Z</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57.025</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33.393**</w:t>
            </w:r>
          </w:p>
        </w:tc>
        <w:tc>
          <w:tcPr>
            <w:tcW w:w="0" w:type="auto"/>
            <w:tcBorders>
              <w:top w:val="nil"/>
              <w:bottom w:val="nil"/>
            </w:tcBorders>
          </w:tcPr>
          <w:p w:rsidR="00552458" w:rsidRPr="009E44F5" w:rsidRDefault="00552458" w:rsidP="00EB5AA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52.796</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43.643**</w:t>
            </w:r>
          </w:p>
        </w:tc>
      </w:tr>
      <w:tr w:rsidR="00552458" w:rsidRPr="009E44F5" w:rsidTr="00944BB1">
        <w:trPr>
          <w:trHeight w:val="290"/>
        </w:trPr>
        <w:tc>
          <w:tcPr>
            <w:tcW w:w="0" w:type="auto"/>
            <w:vMerge/>
            <w:tcBorders>
              <w:bottom w:val="nil"/>
            </w:tcBorders>
            <w:vAlign w:val="center"/>
          </w:tcPr>
          <w:p w:rsidR="00552458" w:rsidRPr="009E44F5" w:rsidRDefault="00552458" w:rsidP="00FE2E7D">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(0.371)</w:t>
            </w:r>
          </w:p>
        </w:tc>
        <w:tc>
          <w:tcPr>
            <w:tcW w:w="0" w:type="auto"/>
            <w:tcBorders>
              <w:top w:val="nil"/>
              <w:bottom w:val="nil"/>
            </w:tcBorders>
          </w:tcPr>
          <w:p w:rsidR="00552458" w:rsidRPr="009E44F5" w:rsidRDefault="00552458" w:rsidP="000F112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(0.048)</w:t>
            </w:r>
          </w:p>
        </w:tc>
        <w:tc>
          <w:tcPr>
            <w:tcW w:w="0" w:type="auto"/>
            <w:tcBorders>
              <w:top w:val="nil"/>
              <w:bottom w:val="nil"/>
            </w:tcBorders>
          </w:tcPr>
          <w:p w:rsidR="00552458" w:rsidRPr="009E44F5" w:rsidRDefault="00552458" w:rsidP="00EB5AA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(0.365)</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(0.016)</w:t>
            </w:r>
          </w:p>
        </w:tc>
      </w:tr>
      <w:tr w:rsidR="00552458" w:rsidRPr="009E44F5" w:rsidTr="00944BB1">
        <w:trPr>
          <w:trHeight w:val="290"/>
        </w:trPr>
        <w:tc>
          <w:tcPr>
            <w:tcW w:w="0" w:type="auto"/>
            <w:vMerge w:val="restart"/>
            <w:tcBorders>
              <w:top w:val="nil"/>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Cash</w:t>
            </w:r>
          </w:p>
        </w:tc>
        <w:tc>
          <w:tcPr>
            <w:tcW w:w="0" w:type="auto"/>
            <w:tcBorders>
              <w:top w:val="nil"/>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r w:rsidR="009E3571">
              <w:rPr>
                <w:rFonts w:ascii="Times New Roman" w:hAnsi="Times New Roman" w:cs="Times New Roman"/>
                <w:sz w:val="20"/>
                <w:szCs w:val="20"/>
              </w:rPr>
              <w:t>,</w:t>
            </w:r>
            <w:r w:rsidRPr="009E44F5">
              <w:rPr>
                <w:rFonts w:ascii="Times New Roman" w:hAnsi="Times New Roman" w:cs="Times New Roman"/>
                <w:sz w:val="20"/>
                <w:szCs w:val="20"/>
              </w:rPr>
              <w:t>146.886</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-157.243</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r w:rsidR="009E3571">
              <w:rPr>
                <w:rFonts w:ascii="Times New Roman" w:hAnsi="Times New Roman" w:cs="Times New Roman"/>
                <w:sz w:val="20"/>
                <w:szCs w:val="20"/>
              </w:rPr>
              <w:t>,</w:t>
            </w:r>
            <w:r w:rsidRPr="009E44F5">
              <w:rPr>
                <w:rFonts w:ascii="Times New Roman" w:hAnsi="Times New Roman" w:cs="Times New Roman"/>
                <w:sz w:val="20"/>
                <w:szCs w:val="20"/>
              </w:rPr>
              <w:t>423.936**</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-99.331</w:t>
            </w:r>
          </w:p>
        </w:tc>
      </w:tr>
      <w:tr w:rsidR="00552458" w:rsidRPr="009E44F5" w:rsidTr="00944BB1">
        <w:trPr>
          <w:trHeight w:val="290"/>
        </w:trPr>
        <w:tc>
          <w:tcPr>
            <w:tcW w:w="0" w:type="auto"/>
            <w:vMerge/>
            <w:tcBorders>
              <w:bottom w:val="nil"/>
            </w:tcBorders>
            <w:vAlign w:val="center"/>
          </w:tcPr>
          <w:p w:rsidR="00552458" w:rsidRPr="009E44F5" w:rsidRDefault="00552458" w:rsidP="00FE2E7D">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(0.134)</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(0.434)</w:t>
            </w:r>
          </w:p>
        </w:tc>
        <w:tc>
          <w:tcPr>
            <w:tcW w:w="0" w:type="auto"/>
            <w:tcBorders>
              <w:top w:val="nil"/>
              <w:bottom w:val="nil"/>
            </w:tcBorders>
          </w:tcPr>
          <w:p w:rsidR="00552458" w:rsidRPr="009E44F5" w:rsidRDefault="00552458" w:rsidP="00EB5AA1">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(0.044)</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(0.648)</w:t>
            </w:r>
          </w:p>
        </w:tc>
      </w:tr>
      <w:tr w:rsidR="00552458" w:rsidRPr="009E44F5" w:rsidTr="00944BB1">
        <w:trPr>
          <w:trHeight w:val="290"/>
        </w:trPr>
        <w:tc>
          <w:tcPr>
            <w:tcW w:w="0" w:type="auto"/>
            <w:vMerge w:val="restart"/>
            <w:tcBorders>
              <w:top w:val="nil"/>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Dividend</w:t>
            </w:r>
          </w:p>
        </w:tc>
        <w:tc>
          <w:tcPr>
            <w:tcW w:w="0" w:type="auto"/>
            <w:tcBorders>
              <w:top w:val="nil"/>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186.486*</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46.205*</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107.841</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27.370</w:t>
            </w:r>
          </w:p>
        </w:tc>
      </w:tr>
      <w:tr w:rsidR="00552458" w:rsidRPr="009E44F5" w:rsidTr="00944BB1">
        <w:trPr>
          <w:trHeight w:val="290"/>
        </w:trPr>
        <w:tc>
          <w:tcPr>
            <w:tcW w:w="0" w:type="auto"/>
            <w:vMerge/>
            <w:tcBorders>
              <w:bottom w:val="nil"/>
            </w:tcBorders>
            <w:vAlign w:val="center"/>
          </w:tcPr>
          <w:p w:rsidR="00552458" w:rsidRPr="009E44F5" w:rsidRDefault="00552458" w:rsidP="00FE2E7D">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(0.053)</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(0.071)</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(0.230)</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(0.320)</w:t>
            </w:r>
          </w:p>
        </w:tc>
      </w:tr>
      <w:tr w:rsidR="00552458" w:rsidRPr="009E44F5" w:rsidTr="00944BB1">
        <w:trPr>
          <w:trHeight w:val="290"/>
        </w:trPr>
        <w:tc>
          <w:tcPr>
            <w:tcW w:w="0" w:type="auto"/>
            <w:vMerge w:val="restart"/>
            <w:tcBorders>
              <w:top w:val="nil"/>
            </w:tcBorders>
            <w:vAlign w:val="center"/>
          </w:tcPr>
          <w:p w:rsidR="00552458" w:rsidRPr="009E44F5" w:rsidRDefault="00552458" w:rsidP="00552458">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Constant</w:t>
            </w:r>
          </w:p>
        </w:tc>
        <w:tc>
          <w:tcPr>
            <w:tcW w:w="0" w:type="auto"/>
            <w:tcBorders>
              <w:top w:val="nil"/>
              <w:bottom w:val="nil"/>
            </w:tcBorders>
          </w:tcPr>
          <w:p w:rsidR="00552458" w:rsidRPr="009E44F5" w:rsidRDefault="00552458"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-2</w:t>
            </w:r>
            <w:r w:rsidR="009E3571">
              <w:rPr>
                <w:rFonts w:ascii="Times New Roman" w:hAnsi="Times New Roman" w:cs="Times New Roman"/>
                <w:sz w:val="20"/>
                <w:szCs w:val="20"/>
              </w:rPr>
              <w:t>,</w:t>
            </w:r>
            <w:r w:rsidRPr="009E44F5">
              <w:rPr>
                <w:rFonts w:ascii="Times New Roman" w:hAnsi="Times New Roman" w:cs="Times New Roman"/>
                <w:sz w:val="20"/>
                <w:szCs w:val="20"/>
              </w:rPr>
              <w:t>911.423***</w:t>
            </w:r>
          </w:p>
        </w:tc>
        <w:tc>
          <w:tcPr>
            <w:tcW w:w="0" w:type="auto"/>
            <w:tcBorders>
              <w:top w:val="nil"/>
              <w:bottom w:val="nil"/>
            </w:tcBorders>
          </w:tcPr>
          <w:p w:rsidR="00552458" w:rsidRPr="009E44F5" w:rsidRDefault="00552458" w:rsidP="000F112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-459.035***</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-3</w:t>
            </w:r>
            <w:r w:rsidR="009E3571">
              <w:rPr>
                <w:rFonts w:ascii="Times New Roman" w:hAnsi="Times New Roman" w:cs="Times New Roman"/>
                <w:sz w:val="20"/>
                <w:szCs w:val="20"/>
              </w:rPr>
              <w:t>,</w:t>
            </w:r>
            <w:r w:rsidRPr="009E44F5">
              <w:rPr>
                <w:rFonts w:ascii="Times New Roman" w:hAnsi="Times New Roman" w:cs="Times New Roman"/>
                <w:sz w:val="20"/>
                <w:szCs w:val="20"/>
              </w:rPr>
              <w:t>641.213***</w:t>
            </w:r>
          </w:p>
        </w:tc>
        <w:tc>
          <w:tcPr>
            <w:tcW w:w="0" w:type="auto"/>
            <w:tcBorders>
              <w:top w:val="nil"/>
              <w:bottom w:val="nil"/>
            </w:tcBorders>
          </w:tcPr>
          <w:p w:rsidR="00552458" w:rsidRPr="009E44F5" w:rsidRDefault="00552458"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-436.978**</w:t>
            </w:r>
          </w:p>
        </w:tc>
      </w:tr>
      <w:tr w:rsidR="00552458" w:rsidRPr="009E44F5" w:rsidTr="00FE2E7D">
        <w:trPr>
          <w:trHeight w:val="290"/>
        </w:trPr>
        <w:tc>
          <w:tcPr>
            <w:tcW w:w="0" w:type="auto"/>
            <w:vMerge/>
            <w:tcBorders>
              <w:bottom w:val="nil"/>
            </w:tcBorders>
          </w:tcPr>
          <w:p w:rsidR="00552458" w:rsidRPr="009E44F5" w:rsidRDefault="00552458" w:rsidP="00D93A8C">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0" w:type="auto"/>
            <w:tcBorders>
              <w:top w:val="nil"/>
              <w:bottom w:val="nil"/>
            </w:tcBorders>
          </w:tcPr>
          <w:p w:rsidR="00552458" w:rsidRPr="009E44F5" w:rsidRDefault="00552458"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(0.012)</w:t>
            </w:r>
          </w:p>
        </w:tc>
      </w:tr>
      <w:tr w:rsidR="009E44F5" w:rsidRPr="009E44F5" w:rsidTr="00D93A8C">
        <w:trPr>
          <w:trHeight w:val="290"/>
        </w:trPr>
        <w:tc>
          <w:tcPr>
            <w:tcW w:w="0" w:type="auto"/>
            <w:tcBorders>
              <w:top w:val="nil"/>
              <w:bottom w:val="nil"/>
            </w:tcBorders>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Adj-R</w:t>
            </w:r>
            <w:r w:rsidRPr="00944BB1">
              <w:rPr>
                <w:rFonts w:ascii="Times New Roman" w:hAnsi="Times New Roman" w:cs="Times New Roman"/>
                <w:sz w:val="20"/>
                <w:szCs w:val="20"/>
                <w:vertAlign w:val="superscript"/>
              </w:rPr>
              <w:t>2</w:t>
            </w:r>
          </w:p>
        </w:tc>
        <w:tc>
          <w:tcPr>
            <w:tcW w:w="0" w:type="auto"/>
            <w:tcBorders>
              <w:top w:val="nil"/>
              <w:bottom w:val="nil"/>
            </w:tcBorders>
          </w:tcPr>
          <w:p w:rsidR="00681942" w:rsidRPr="009E44F5" w:rsidRDefault="0038275D"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0.448</w:t>
            </w:r>
          </w:p>
        </w:tc>
        <w:tc>
          <w:tcPr>
            <w:tcW w:w="0" w:type="auto"/>
            <w:tcBorders>
              <w:top w:val="nil"/>
              <w:bottom w:val="nil"/>
            </w:tcBorders>
          </w:tcPr>
          <w:p w:rsidR="00681942" w:rsidRPr="009E44F5" w:rsidRDefault="000F112D"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0.4309</w:t>
            </w:r>
          </w:p>
        </w:tc>
        <w:tc>
          <w:tcPr>
            <w:tcW w:w="0" w:type="auto"/>
            <w:tcBorders>
              <w:top w:val="nil"/>
              <w:bottom w:val="nil"/>
            </w:tcBorders>
          </w:tcPr>
          <w:p w:rsidR="00681942" w:rsidRPr="009E44F5" w:rsidRDefault="00EB5AA1"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0.525</w:t>
            </w:r>
          </w:p>
        </w:tc>
        <w:tc>
          <w:tcPr>
            <w:tcW w:w="0" w:type="auto"/>
            <w:tcBorders>
              <w:top w:val="nil"/>
              <w:bottom w:val="nil"/>
            </w:tcBorders>
          </w:tcPr>
          <w:p w:rsidR="00681942" w:rsidRPr="009E44F5" w:rsidRDefault="00E33772" w:rsidP="00E3377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0.397</w:t>
            </w:r>
          </w:p>
        </w:tc>
      </w:tr>
      <w:tr w:rsidR="009E44F5" w:rsidRPr="009E44F5" w:rsidTr="00D93A8C">
        <w:trPr>
          <w:trHeight w:val="290"/>
        </w:trPr>
        <w:tc>
          <w:tcPr>
            <w:tcW w:w="0" w:type="auto"/>
            <w:tcBorders>
              <w:top w:val="nil"/>
              <w:bottom w:val="single" w:sz="2" w:space="0" w:color="000000"/>
            </w:tcBorders>
          </w:tcPr>
          <w:p w:rsidR="00681942" w:rsidRPr="009E44F5" w:rsidRDefault="00681942" w:rsidP="00D93A8C">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N</w:t>
            </w:r>
          </w:p>
        </w:tc>
        <w:tc>
          <w:tcPr>
            <w:tcW w:w="0" w:type="auto"/>
            <w:tcBorders>
              <w:top w:val="nil"/>
              <w:bottom w:val="single" w:sz="2" w:space="0" w:color="000000"/>
            </w:tcBorders>
          </w:tcPr>
          <w:p w:rsidR="00681942" w:rsidRPr="009E44F5" w:rsidRDefault="0038275D" w:rsidP="0038275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0" w:type="auto"/>
            <w:tcBorders>
              <w:top w:val="nil"/>
              <w:bottom w:val="single" w:sz="2" w:space="0" w:color="000000"/>
            </w:tcBorders>
          </w:tcPr>
          <w:p w:rsidR="00681942" w:rsidRPr="009E44F5" w:rsidRDefault="000F112D" w:rsidP="0084285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0" w:type="auto"/>
            <w:tcBorders>
              <w:top w:val="nil"/>
              <w:bottom w:val="single" w:sz="2" w:space="0" w:color="000000"/>
            </w:tcBorders>
          </w:tcPr>
          <w:p w:rsidR="00681942" w:rsidRPr="009E44F5" w:rsidRDefault="00EB5AA1" w:rsidP="0084285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0" w:type="auto"/>
            <w:tcBorders>
              <w:top w:val="nil"/>
              <w:bottom w:val="single" w:sz="2" w:space="0" w:color="000000"/>
            </w:tcBorders>
          </w:tcPr>
          <w:p w:rsidR="00681942" w:rsidRPr="009E44F5" w:rsidRDefault="00E33772" w:rsidP="0084285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r>
    </w:tbl>
    <w:p w:rsidR="00681942" w:rsidRPr="009E44F5" w:rsidRDefault="00681942" w:rsidP="00681942">
      <w:pPr>
        <w:spacing w:after="0"/>
        <w:jc w:val="center"/>
        <w:rPr>
          <w:rFonts w:ascii="Times New Roman" w:eastAsia="Times New Roman" w:hAnsi="Times New Roman" w:cs="Times New Roman"/>
          <w:sz w:val="24"/>
          <w:szCs w:val="24"/>
        </w:rPr>
      </w:pPr>
    </w:p>
    <w:p w:rsidR="00681942" w:rsidRPr="009E44F5" w:rsidRDefault="00681942" w:rsidP="00681942">
      <w:pPr>
        <w:rPr>
          <w:rFonts w:ascii="Times New Roman" w:eastAsia="Times New Roman" w:hAnsi="Times New Roman" w:cs="Times New Roman"/>
          <w:sz w:val="24"/>
          <w:szCs w:val="24"/>
        </w:rPr>
      </w:pPr>
    </w:p>
    <w:p w:rsidR="00681942" w:rsidRPr="009E44F5" w:rsidRDefault="00681942" w:rsidP="009E017D">
      <w:pPr>
        <w:tabs>
          <w:tab w:val="left" w:pos="1134"/>
          <w:tab w:val="left" w:pos="3402"/>
          <w:tab w:val="left" w:pos="4111"/>
        </w:tabs>
        <w:spacing w:after="120" w:line="240" w:lineRule="auto"/>
        <w:jc w:val="both"/>
        <w:rPr>
          <w:rFonts w:ascii="Times New Roman" w:eastAsia="Times New Roman" w:hAnsi="Times New Roman" w:cs="Times New Roman"/>
        </w:rPr>
      </w:pPr>
    </w:p>
    <w:p w:rsidR="00D66D48" w:rsidRPr="009E44F5" w:rsidRDefault="00D66D48" w:rsidP="00522FB7">
      <w:pPr>
        <w:tabs>
          <w:tab w:val="left" w:pos="1134"/>
          <w:tab w:val="left" w:pos="3402"/>
          <w:tab w:val="left" w:pos="4111"/>
        </w:tabs>
        <w:spacing w:after="120" w:line="240" w:lineRule="auto"/>
        <w:jc w:val="center"/>
        <w:rPr>
          <w:rFonts w:ascii="Times New Roman" w:eastAsia="Times New Roman" w:hAnsi="Times New Roman" w:cs="Times New Roman"/>
          <w:b/>
          <w:sz w:val="24"/>
          <w:szCs w:val="24"/>
        </w:rPr>
        <w:sectPr w:rsidR="00D66D48" w:rsidRPr="009E44F5" w:rsidSect="00513CA5">
          <w:pgSz w:w="12240" w:h="15840"/>
          <w:pgMar w:top="1008" w:right="1440" w:bottom="1296" w:left="1440" w:header="720" w:footer="720" w:gutter="0"/>
          <w:cols w:space="720"/>
          <w:docGrid w:linePitch="360"/>
        </w:sectPr>
      </w:pPr>
    </w:p>
    <w:p w:rsidR="00E74BAF" w:rsidRPr="009E44F5" w:rsidRDefault="00E74BAF" w:rsidP="00681942">
      <w:pPr>
        <w:spacing w:after="0"/>
        <w:jc w:val="center"/>
        <w:rPr>
          <w:rFonts w:ascii="Times New Roman" w:eastAsia="Times New Roman" w:hAnsi="Times New Roman" w:cs="Times New Roman"/>
          <w:b/>
          <w:sz w:val="24"/>
          <w:szCs w:val="24"/>
        </w:rPr>
      </w:pPr>
    </w:p>
    <w:p w:rsidR="00E74BAF" w:rsidRPr="009E44F5" w:rsidRDefault="00E74BAF" w:rsidP="00681942">
      <w:pPr>
        <w:spacing w:after="0"/>
        <w:jc w:val="center"/>
        <w:rPr>
          <w:rFonts w:ascii="Times New Roman" w:eastAsia="Times New Roman" w:hAnsi="Times New Roman" w:cs="Times New Roman"/>
          <w:b/>
          <w:sz w:val="24"/>
          <w:szCs w:val="24"/>
        </w:rPr>
      </w:pPr>
    </w:p>
    <w:p w:rsidR="00E74BAF" w:rsidRPr="009E44F5" w:rsidRDefault="00E74BAF" w:rsidP="00681942">
      <w:pPr>
        <w:spacing w:after="0"/>
        <w:jc w:val="center"/>
        <w:rPr>
          <w:rFonts w:ascii="Times New Roman" w:eastAsia="Times New Roman" w:hAnsi="Times New Roman" w:cs="Times New Roman"/>
          <w:b/>
          <w:sz w:val="24"/>
          <w:szCs w:val="24"/>
        </w:rPr>
      </w:pPr>
    </w:p>
    <w:p w:rsidR="00E74BAF" w:rsidRPr="009E44F5" w:rsidRDefault="00E74BAF" w:rsidP="00681942">
      <w:pPr>
        <w:spacing w:after="0"/>
        <w:jc w:val="center"/>
        <w:rPr>
          <w:rFonts w:ascii="Times New Roman" w:eastAsia="Times New Roman" w:hAnsi="Times New Roman" w:cs="Times New Roman"/>
          <w:b/>
          <w:sz w:val="24"/>
          <w:szCs w:val="24"/>
        </w:rPr>
      </w:pPr>
    </w:p>
    <w:p w:rsidR="00E74BAF" w:rsidRPr="009E44F5" w:rsidRDefault="00E74BAF" w:rsidP="00681942">
      <w:pPr>
        <w:spacing w:after="0"/>
        <w:jc w:val="center"/>
        <w:rPr>
          <w:rFonts w:ascii="Times New Roman" w:eastAsia="Times New Roman" w:hAnsi="Times New Roman" w:cs="Times New Roman"/>
          <w:b/>
          <w:sz w:val="24"/>
          <w:szCs w:val="24"/>
        </w:rPr>
      </w:pPr>
    </w:p>
    <w:p w:rsidR="00E74BAF" w:rsidRPr="009E44F5" w:rsidRDefault="00E74BAF" w:rsidP="00681942">
      <w:pPr>
        <w:spacing w:after="0"/>
        <w:jc w:val="center"/>
        <w:rPr>
          <w:rFonts w:ascii="Times New Roman" w:eastAsia="Times New Roman" w:hAnsi="Times New Roman" w:cs="Times New Roman"/>
          <w:b/>
          <w:sz w:val="24"/>
          <w:szCs w:val="24"/>
        </w:rPr>
      </w:pPr>
    </w:p>
    <w:p w:rsidR="00E74BAF" w:rsidRPr="009E44F5" w:rsidRDefault="00E74BAF" w:rsidP="00681942">
      <w:pPr>
        <w:spacing w:after="0"/>
        <w:jc w:val="center"/>
        <w:rPr>
          <w:rFonts w:ascii="Times New Roman" w:eastAsia="Times New Roman" w:hAnsi="Times New Roman" w:cs="Times New Roman"/>
          <w:b/>
          <w:sz w:val="24"/>
          <w:szCs w:val="24"/>
        </w:rPr>
      </w:pPr>
    </w:p>
    <w:p w:rsidR="00E74BAF" w:rsidRPr="009E44F5" w:rsidRDefault="00E74BAF" w:rsidP="00681942">
      <w:pPr>
        <w:spacing w:after="0"/>
        <w:jc w:val="center"/>
        <w:rPr>
          <w:rFonts w:ascii="Times New Roman" w:eastAsia="Times New Roman" w:hAnsi="Times New Roman" w:cs="Times New Roman"/>
          <w:b/>
          <w:sz w:val="24"/>
          <w:szCs w:val="24"/>
        </w:rPr>
      </w:pPr>
    </w:p>
    <w:p w:rsidR="00E74BAF" w:rsidRPr="009E44F5" w:rsidRDefault="00E74BAF" w:rsidP="00681942">
      <w:pPr>
        <w:spacing w:after="0"/>
        <w:jc w:val="center"/>
        <w:rPr>
          <w:rFonts w:ascii="Times New Roman" w:eastAsia="Times New Roman" w:hAnsi="Times New Roman" w:cs="Times New Roman"/>
          <w:b/>
          <w:sz w:val="24"/>
          <w:szCs w:val="24"/>
        </w:rPr>
      </w:pPr>
    </w:p>
    <w:p w:rsidR="00E74BAF" w:rsidRPr="009E44F5" w:rsidRDefault="00E74BAF" w:rsidP="00681942">
      <w:pPr>
        <w:spacing w:after="0"/>
        <w:jc w:val="center"/>
        <w:rPr>
          <w:rFonts w:ascii="Times New Roman" w:eastAsia="Times New Roman" w:hAnsi="Times New Roman" w:cs="Times New Roman"/>
          <w:b/>
          <w:sz w:val="24"/>
          <w:szCs w:val="24"/>
        </w:rPr>
      </w:pPr>
    </w:p>
    <w:p w:rsidR="00E74BAF" w:rsidRPr="009E44F5" w:rsidRDefault="00E74BAF" w:rsidP="00681942">
      <w:pPr>
        <w:spacing w:after="0"/>
        <w:jc w:val="center"/>
        <w:rPr>
          <w:rFonts w:ascii="Times New Roman" w:eastAsia="Times New Roman" w:hAnsi="Times New Roman" w:cs="Times New Roman"/>
          <w:b/>
          <w:sz w:val="24"/>
          <w:szCs w:val="24"/>
        </w:rPr>
      </w:pPr>
    </w:p>
    <w:p w:rsidR="00E74BAF" w:rsidRPr="009E44F5" w:rsidRDefault="00E74BAF">
      <w:pPr>
        <w:rPr>
          <w:rFonts w:ascii="Times New Roman" w:eastAsia="Times New Roman" w:hAnsi="Times New Roman" w:cs="Times New Roman"/>
          <w:b/>
          <w:sz w:val="24"/>
          <w:szCs w:val="24"/>
        </w:rPr>
      </w:pPr>
      <w:r w:rsidRPr="009E44F5">
        <w:rPr>
          <w:rFonts w:ascii="Times New Roman" w:eastAsia="Times New Roman" w:hAnsi="Times New Roman" w:cs="Times New Roman"/>
          <w:b/>
          <w:sz w:val="24"/>
          <w:szCs w:val="24"/>
        </w:rPr>
        <w:br w:type="page"/>
      </w:r>
    </w:p>
    <w:p w:rsidR="00B231E9" w:rsidRPr="009E44F5" w:rsidRDefault="00681942" w:rsidP="00B231E9">
      <w:pPr>
        <w:spacing w:after="0"/>
        <w:jc w:val="center"/>
        <w:rPr>
          <w:rFonts w:ascii="Times New Roman" w:eastAsia="Times New Roman" w:hAnsi="Times New Roman" w:cs="Times New Roman"/>
          <w:b/>
          <w:sz w:val="24"/>
          <w:szCs w:val="24"/>
        </w:rPr>
      </w:pPr>
      <w:proofErr w:type="gramStart"/>
      <w:r w:rsidRPr="009E44F5">
        <w:rPr>
          <w:rFonts w:ascii="Times New Roman" w:eastAsia="Times New Roman" w:hAnsi="Times New Roman" w:cs="Times New Roman"/>
          <w:b/>
          <w:sz w:val="24"/>
          <w:szCs w:val="24"/>
        </w:rPr>
        <w:lastRenderedPageBreak/>
        <w:t>Table 3.</w:t>
      </w:r>
      <w:proofErr w:type="gramEnd"/>
      <w:r w:rsidRPr="009E44F5">
        <w:rPr>
          <w:rFonts w:ascii="Times New Roman" w:eastAsia="Times New Roman" w:hAnsi="Times New Roman" w:cs="Times New Roman"/>
          <w:b/>
          <w:sz w:val="24"/>
          <w:szCs w:val="24"/>
        </w:rPr>
        <w:t xml:space="preserve"> Difference</w:t>
      </w:r>
      <w:r w:rsidR="00085B03">
        <w:rPr>
          <w:rFonts w:ascii="Times New Roman" w:eastAsia="Times New Roman" w:hAnsi="Times New Roman" w:cs="Times New Roman"/>
          <w:b/>
          <w:sz w:val="24"/>
          <w:szCs w:val="24"/>
        </w:rPr>
        <w:t>s</w:t>
      </w:r>
      <w:r w:rsidRPr="009E44F5">
        <w:rPr>
          <w:rFonts w:ascii="Times New Roman" w:eastAsia="Times New Roman" w:hAnsi="Times New Roman" w:cs="Times New Roman"/>
          <w:b/>
          <w:sz w:val="24"/>
          <w:szCs w:val="24"/>
        </w:rPr>
        <w:t>-in-Difference</w:t>
      </w:r>
      <w:r w:rsidR="00085B03">
        <w:rPr>
          <w:rFonts w:ascii="Times New Roman" w:eastAsia="Times New Roman" w:hAnsi="Times New Roman" w:cs="Times New Roman"/>
          <w:b/>
          <w:sz w:val="24"/>
          <w:szCs w:val="24"/>
        </w:rPr>
        <w:t>s</w:t>
      </w:r>
      <w:r w:rsidRPr="009E44F5">
        <w:rPr>
          <w:rFonts w:ascii="Times New Roman" w:eastAsia="Times New Roman" w:hAnsi="Times New Roman" w:cs="Times New Roman"/>
          <w:b/>
          <w:sz w:val="24"/>
          <w:szCs w:val="24"/>
        </w:rPr>
        <w:t xml:space="preserve"> Regressions: No </w:t>
      </w:r>
      <w:proofErr w:type="gramStart"/>
      <w:r w:rsidRPr="009E44F5">
        <w:rPr>
          <w:rFonts w:ascii="Times New Roman" w:eastAsia="Times New Roman" w:hAnsi="Times New Roman" w:cs="Times New Roman"/>
          <w:b/>
          <w:sz w:val="24"/>
          <w:szCs w:val="24"/>
        </w:rPr>
        <w:t>option pay</w:t>
      </w:r>
      <w:proofErr w:type="gramEnd"/>
      <w:r w:rsidRPr="009E44F5">
        <w:rPr>
          <w:rFonts w:ascii="Times New Roman" w:eastAsia="Times New Roman" w:hAnsi="Times New Roman" w:cs="Times New Roman"/>
          <w:b/>
          <w:sz w:val="24"/>
          <w:szCs w:val="24"/>
        </w:rPr>
        <w:t xml:space="preserve"> in Pre-FAS 123R</w:t>
      </w:r>
    </w:p>
    <w:p w:rsidR="00681942" w:rsidRPr="009E44F5" w:rsidRDefault="00681942" w:rsidP="00B231E9">
      <w:pPr>
        <w:spacing w:after="0"/>
        <w:jc w:val="center"/>
        <w:rPr>
          <w:rFonts w:ascii="Times New Roman" w:eastAsia="Times New Roman" w:hAnsi="Times New Roman" w:cs="Times New Roman"/>
          <w:b/>
          <w:sz w:val="24"/>
          <w:szCs w:val="24"/>
        </w:rPr>
      </w:pPr>
      <w:r w:rsidRPr="009E44F5">
        <w:rPr>
          <w:rFonts w:ascii="Times New Roman" w:eastAsia="Times New Roman" w:hAnsi="Times New Roman" w:cs="Times New Roman"/>
          <w:b/>
          <w:sz w:val="24"/>
          <w:szCs w:val="24"/>
        </w:rPr>
        <w:t>(Control Group 1)</w:t>
      </w:r>
    </w:p>
    <w:p w:rsidR="00681942" w:rsidRPr="009E44F5" w:rsidRDefault="00681942" w:rsidP="00681942">
      <w:pPr>
        <w:tabs>
          <w:tab w:val="left" w:pos="1134"/>
          <w:tab w:val="left" w:pos="3402"/>
          <w:tab w:val="left" w:pos="4111"/>
        </w:tabs>
        <w:spacing w:after="100" w:afterAutospacing="1" w:line="240" w:lineRule="auto"/>
        <w:jc w:val="both"/>
        <w:rPr>
          <w:rFonts w:ascii="Times New Roman" w:eastAsia="Times New Roman" w:hAnsi="Times New Roman" w:cs="Times New Roman"/>
          <w:sz w:val="20"/>
          <w:szCs w:val="20"/>
        </w:rPr>
      </w:pPr>
      <w:r w:rsidRPr="009E44F5">
        <w:rPr>
          <w:rFonts w:ascii="Times New Roman" w:eastAsia="Times New Roman" w:hAnsi="Times New Roman" w:cs="Times New Roman"/>
          <w:sz w:val="20"/>
          <w:szCs w:val="20"/>
        </w:rPr>
        <w:t>This table contains the results of estimating difference</w:t>
      </w:r>
      <w:r w:rsidR="00085B03">
        <w:rPr>
          <w:rFonts w:ascii="Times New Roman" w:eastAsia="Times New Roman" w:hAnsi="Times New Roman" w:cs="Times New Roman"/>
          <w:sz w:val="20"/>
          <w:szCs w:val="20"/>
        </w:rPr>
        <w:t>s</w:t>
      </w:r>
      <w:r w:rsidRPr="009E44F5">
        <w:rPr>
          <w:rFonts w:ascii="Times New Roman" w:eastAsia="Times New Roman" w:hAnsi="Times New Roman" w:cs="Times New Roman"/>
          <w:sz w:val="20"/>
          <w:szCs w:val="20"/>
        </w:rPr>
        <w:t>-in-difference</w:t>
      </w:r>
      <w:r w:rsidR="00085B03">
        <w:rPr>
          <w:rFonts w:ascii="Times New Roman" w:eastAsia="Times New Roman" w:hAnsi="Times New Roman" w:cs="Times New Roman"/>
          <w:sz w:val="20"/>
          <w:szCs w:val="20"/>
        </w:rPr>
        <w:t>s (DID)</w:t>
      </w:r>
      <w:r w:rsidRPr="009E44F5">
        <w:rPr>
          <w:rFonts w:ascii="Times New Roman" w:eastAsia="Times New Roman" w:hAnsi="Times New Roman" w:cs="Times New Roman"/>
          <w:sz w:val="20"/>
          <w:szCs w:val="20"/>
        </w:rPr>
        <w:t xml:space="preserve"> regressions to investigate to effect of FAS 123R on corporate hedging. We take the average of each variable for each firm pre- and post-FAS 123R. </w:t>
      </w:r>
      <w:r w:rsidRPr="009E44F5">
        <w:rPr>
          <w:rFonts w:ascii="Times New Roman" w:eastAsia="Times New Roman" w:hAnsi="Times New Roman" w:cs="Times New Roman"/>
          <w:i/>
          <w:sz w:val="20"/>
          <w:szCs w:val="20"/>
        </w:rPr>
        <w:t>Post-FAS 123R</w:t>
      </w:r>
      <w:r w:rsidRPr="009E44F5">
        <w:rPr>
          <w:rFonts w:ascii="Times New Roman" w:eastAsia="Times New Roman" w:hAnsi="Times New Roman" w:cs="Times New Roman"/>
          <w:sz w:val="20"/>
          <w:szCs w:val="20"/>
        </w:rPr>
        <w:t xml:space="preserve"> is an indicator variable equal to one if the observation is after the adoption of FAS 123R. </w:t>
      </w:r>
      <w:r w:rsidRPr="009E44F5">
        <w:rPr>
          <w:rFonts w:ascii="Times New Roman" w:eastAsia="Times New Roman" w:hAnsi="Times New Roman" w:cs="Times New Roman"/>
          <w:i/>
          <w:sz w:val="20"/>
          <w:szCs w:val="20"/>
        </w:rPr>
        <w:t>Treated</w:t>
      </w:r>
      <w:r w:rsidRPr="009E44F5">
        <w:rPr>
          <w:rFonts w:ascii="Times New Roman" w:eastAsia="Times New Roman" w:hAnsi="Times New Roman" w:cs="Times New Roman"/>
          <w:sz w:val="20"/>
          <w:szCs w:val="20"/>
        </w:rPr>
        <w:t xml:space="preserve"> is an indicator variable that is one if the observation is part of the treated group i.e. firms that did not have option pay prior to the adoption of FAS 123R. </w:t>
      </w:r>
      <w:r w:rsidRPr="009E44F5">
        <w:rPr>
          <w:rFonts w:ascii="Times New Roman" w:eastAsia="Times New Roman" w:hAnsi="Times New Roman" w:cs="Times New Roman"/>
          <w:i/>
          <w:sz w:val="20"/>
          <w:szCs w:val="20"/>
        </w:rPr>
        <w:t>Treated</w:t>
      </w:r>
      <w:r w:rsidRPr="009E44F5">
        <w:rPr>
          <w:rFonts w:ascii="Times New Roman" w:eastAsia="Times New Roman" w:hAnsi="Times New Roman" w:cs="Times New Roman"/>
          <w:sz w:val="20"/>
          <w:szCs w:val="20"/>
        </w:rPr>
        <w:t xml:space="preserve"> is equal to zero if the firm if in the control group i.e. did not pay options prior to FAS 123R. </w:t>
      </w:r>
      <w:r w:rsidRPr="009E44F5">
        <w:rPr>
          <w:rFonts w:ascii="Times New Roman" w:eastAsia="Times New Roman" w:hAnsi="Times New Roman" w:cs="Times New Roman"/>
          <w:i/>
          <w:sz w:val="20"/>
          <w:szCs w:val="20"/>
        </w:rPr>
        <w:t>Treated *Post-FAS 123R</w:t>
      </w:r>
      <w:r w:rsidRPr="009E44F5">
        <w:rPr>
          <w:rFonts w:ascii="Times New Roman" w:eastAsia="Times New Roman" w:hAnsi="Times New Roman" w:cs="Times New Roman"/>
          <w:sz w:val="20"/>
          <w:szCs w:val="20"/>
        </w:rPr>
        <w:t xml:space="preserve"> is the </w:t>
      </w:r>
      <w:r w:rsidR="00085B03">
        <w:rPr>
          <w:rFonts w:ascii="Times New Roman" w:eastAsia="Times New Roman" w:hAnsi="Times New Roman" w:cs="Times New Roman"/>
          <w:sz w:val="20"/>
          <w:szCs w:val="20"/>
        </w:rPr>
        <w:t>DID</w:t>
      </w:r>
      <w:r w:rsidRPr="009E44F5">
        <w:rPr>
          <w:rFonts w:ascii="Times New Roman" w:eastAsia="Times New Roman" w:hAnsi="Times New Roman" w:cs="Times New Roman"/>
          <w:sz w:val="20"/>
          <w:szCs w:val="20"/>
        </w:rPr>
        <w:t xml:space="preserve"> estimate. The table reports p-values in parentheses. All p-values</w:t>
      </w:r>
      <w:r w:rsidR="00024B22" w:rsidRPr="009E44F5">
        <w:rPr>
          <w:rFonts w:ascii="Times New Roman" w:eastAsia="Times New Roman" w:hAnsi="Times New Roman" w:cs="Times New Roman"/>
          <w:sz w:val="20"/>
          <w:szCs w:val="20"/>
        </w:rPr>
        <w:t xml:space="preserve"> are computed with standard errors clustered at the firm level</w:t>
      </w:r>
      <w:r w:rsidRPr="009E44F5">
        <w:rPr>
          <w:rFonts w:ascii="Times New Roman" w:eastAsia="Times New Roman" w:hAnsi="Times New Roman" w:cs="Times New Roman"/>
          <w:sz w:val="20"/>
          <w:szCs w:val="20"/>
        </w:rPr>
        <w:t xml:space="preserve">. </w:t>
      </w:r>
      <w:r w:rsidR="00270BEB" w:rsidRPr="009E44F5">
        <w:rPr>
          <w:rFonts w:ascii="Times New Roman" w:hAnsi="Times New Roman" w:cs="Times New Roman"/>
          <w:sz w:val="20"/>
          <w:szCs w:val="20"/>
        </w:rPr>
        <w:t>The notation ***, ** and * denote statistical significance at the 1%, 5% and 10% level, respectively.</w:t>
      </w:r>
      <w:r w:rsidR="00270BEB" w:rsidRPr="009E44F5">
        <w:rPr>
          <w:rFonts w:ascii="Times New Roman" w:eastAsia="Times New Roman" w:hAnsi="Times New Roman" w:cs="Times New Roman"/>
          <w:sz w:val="20"/>
          <w:szCs w:val="20"/>
        </w:rPr>
        <w:t xml:space="preserve"> </w:t>
      </w:r>
      <w:r w:rsidRPr="009E44F5">
        <w:rPr>
          <w:rFonts w:ascii="Times New Roman" w:eastAsia="Times New Roman" w:hAnsi="Times New Roman" w:cs="Times New Roman"/>
          <w:sz w:val="20"/>
          <w:szCs w:val="20"/>
        </w:rPr>
        <w:t>The var</w:t>
      </w:r>
      <w:r w:rsidR="00AF65B2" w:rsidRPr="009E44F5">
        <w:rPr>
          <w:rFonts w:ascii="Times New Roman" w:eastAsia="Times New Roman" w:hAnsi="Times New Roman" w:cs="Times New Roman"/>
          <w:sz w:val="20"/>
          <w:szCs w:val="20"/>
        </w:rPr>
        <w:t>iables are defined in Appendix</w:t>
      </w:r>
      <w:r w:rsidRPr="009E44F5">
        <w:rPr>
          <w:rFonts w:ascii="Times New Roman" w:eastAsia="Times New Roman" w:hAnsi="Times New Roman" w:cs="Times New Roman"/>
          <w:sz w:val="20"/>
          <w:szCs w:val="20"/>
        </w:rPr>
        <w:t xml:space="preserve">.  </w:t>
      </w:r>
    </w:p>
    <w:tbl>
      <w:tblPr>
        <w:tblW w:w="3204" w:type="pct"/>
        <w:jc w:val="center"/>
        <w:tblBorders>
          <w:top w:val="single" w:sz="2" w:space="0" w:color="000000"/>
          <w:bottom w:val="single" w:sz="2" w:space="0" w:color="000000"/>
        </w:tblBorders>
        <w:tblLayout w:type="fixed"/>
        <w:tblLook w:val="0000"/>
      </w:tblPr>
      <w:tblGrid>
        <w:gridCol w:w="2329"/>
        <w:gridCol w:w="906"/>
        <w:gridCol w:w="1093"/>
        <w:gridCol w:w="900"/>
        <w:gridCol w:w="908"/>
      </w:tblGrid>
      <w:tr w:rsidR="009E44F5" w:rsidRPr="009E44F5" w:rsidTr="00910863">
        <w:trPr>
          <w:trHeight w:val="290"/>
          <w:jc w:val="center"/>
        </w:trPr>
        <w:tc>
          <w:tcPr>
            <w:tcW w:w="1898" w:type="pct"/>
            <w:tcBorders>
              <w:top w:val="single" w:sz="2" w:space="0" w:color="000000"/>
              <w:bottom w:val="single" w:sz="2" w:space="0" w:color="000000"/>
            </w:tcBorders>
            <w:vAlign w:val="center"/>
          </w:tcPr>
          <w:p w:rsidR="00034653" w:rsidRPr="009E44F5" w:rsidRDefault="00034653" w:rsidP="00910863">
            <w:pPr>
              <w:autoSpaceDE w:val="0"/>
              <w:autoSpaceDN w:val="0"/>
              <w:adjustRightInd w:val="0"/>
              <w:spacing w:after="0" w:line="240" w:lineRule="auto"/>
              <w:jc w:val="center"/>
              <w:rPr>
                <w:rFonts w:ascii="Times New Roman" w:hAnsi="Times New Roman" w:cs="Times New Roman"/>
                <w:sz w:val="20"/>
                <w:szCs w:val="20"/>
              </w:rPr>
            </w:pPr>
          </w:p>
        </w:tc>
        <w:tc>
          <w:tcPr>
            <w:tcW w:w="738" w:type="pct"/>
            <w:tcBorders>
              <w:top w:val="single" w:sz="2" w:space="0" w:color="000000"/>
              <w:bottom w:val="single" w:sz="2" w:space="0" w:color="000000"/>
            </w:tcBorders>
            <w:vAlign w:val="center"/>
          </w:tcPr>
          <w:p w:rsidR="00034653" w:rsidRPr="009E44F5" w:rsidRDefault="00034653"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Hedge Ratio 1</w:t>
            </w:r>
          </w:p>
        </w:tc>
        <w:tc>
          <w:tcPr>
            <w:tcW w:w="891" w:type="pct"/>
            <w:tcBorders>
              <w:top w:val="single" w:sz="2" w:space="0" w:color="000000"/>
              <w:bottom w:val="single" w:sz="2" w:space="0" w:color="000000"/>
            </w:tcBorders>
            <w:vAlign w:val="center"/>
          </w:tcPr>
          <w:p w:rsidR="00034653" w:rsidRPr="009E44F5" w:rsidRDefault="00034653"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Hedge Ratio 1</w:t>
            </w:r>
          </w:p>
        </w:tc>
        <w:tc>
          <w:tcPr>
            <w:tcW w:w="733" w:type="pct"/>
            <w:tcBorders>
              <w:top w:val="single" w:sz="2" w:space="0" w:color="000000"/>
              <w:bottom w:val="single" w:sz="2" w:space="0" w:color="000000"/>
            </w:tcBorders>
            <w:vAlign w:val="center"/>
          </w:tcPr>
          <w:p w:rsidR="00034653" w:rsidRPr="009E44F5" w:rsidRDefault="00034653"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Hedge Ratio 2</w:t>
            </w:r>
          </w:p>
        </w:tc>
        <w:tc>
          <w:tcPr>
            <w:tcW w:w="740" w:type="pct"/>
            <w:tcBorders>
              <w:top w:val="single" w:sz="2" w:space="0" w:color="000000"/>
              <w:bottom w:val="single" w:sz="2" w:space="0" w:color="000000"/>
            </w:tcBorders>
            <w:vAlign w:val="center"/>
          </w:tcPr>
          <w:p w:rsidR="00034653" w:rsidRPr="009E44F5" w:rsidRDefault="00034653"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Hedge Ratio 2</w:t>
            </w:r>
          </w:p>
        </w:tc>
      </w:tr>
      <w:tr w:rsidR="00552458" w:rsidRPr="009E44F5" w:rsidTr="00910863">
        <w:trPr>
          <w:trHeight w:val="290"/>
          <w:jc w:val="center"/>
        </w:trPr>
        <w:tc>
          <w:tcPr>
            <w:tcW w:w="1898" w:type="pct"/>
            <w:vMerge w:val="restart"/>
            <w:tcBorders>
              <w:top w:val="single" w:sz="2" w:space="0" w:color="000000"/>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Post-FAS 123R</w:t>
            </w:r>
          </w:p>
        </w:tc>
        <w:tc>
          <w:tcPr>
            <w:tcW w:w="738"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-0.050</w:t>
            </w:r>
          </w:p>
        </w:tc>
        <w:tc>
          <w:tcPr>
            <w:tcW w:w="891"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-0.060</w:t>
            </w:r>
          </w:p>
        </w:tc>
        <w:tc>
          <w:tcPr>
            <w:tcW w:w="733"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0.004</w:t>
            </w:r>
          </w:p>
        </w:tc>
        <w:tc>
          <w:tcPr>
            <w:tcW w:w="740"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(0.489)</w:t>
            </w: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(0.580)</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(0.672)</w:t>
            </w: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(0.975)</w:t>
            </w:r>
          </w:p>
        </w:tc>
      </w:tr>
      <w:tr w:rsidR="00552458" w:rsidRPr="009E44F5" w:rsidTr="00910863">
        <w:trPr>
          <w:trHeight w:val="290"/>
          <w:jc w:val="center"/>
        </w:trPr>
        <w:tc>
          <w:tcPr>
            <w:tcW w:w="1898"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Treated</w:t>
            </w: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-0.023</w:t>
            </w: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-0.068</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-0.002</w:t>
            </w: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(0.671)</w:t>
            </w: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(0.396)</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(0.706)</w:t>
            </w: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(0.848)</w:t>
            </w:r>
          </w:p>
        </w:tc>
      </w:tr>
      <w:tr w:rsidR="00552458" w:rsidRPr="009E44F5" w:rsidTr="00910863">
        <w:trPr>
          <w:trHeight w:val="198"/>
          <w:jc w:val="center"/>
        </w:trPr>
        <w:tc>
          <w:tcPr>
            <w:tcW w:w="1898"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Treated *Post-FAS 123R</w:t>
            </w: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0.136*</w:t>
            </w: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0.191*</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0.009</w:t>
            </w: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0.020*</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(0.098)</w:t>
            </w: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(0.096)</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(0.174)</w:t>
            </w: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(0.094)</w:t>
            </w:r>
          </w:p>
        </w:tc>
      </w:tr>
      <w:tr w:rsidR="00552458" w:rsidRPr="009E44F5" w:rsidTr="00910863">
        <w:trPr>
          <w:trHeight w:val="290"/>
          <w:jc w:val="center"/>
        </w:trPr>
        <w:tc>
          <w:tcPr>
            <w:tcW w:w="1898"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Delta</w:t>
            </w: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(0.067)</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(0.956)</w:t>
            </w:r>
          </w:p>
        </w:tc>
      </w:tr>
      <w:tr w:rsidR="00552458" w:rsidRPr="009E44F5" w:rsidTr="00910863">
        <w:trPr>
          <w:trHeight w:val="290"/>
          <w:jc w:val="center"/>
        </w:trPr>
        <w:tc>
          <w:tcPr>
            <w:tcW w:w="1898"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Investment Growth</w:t>
            </w: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-0.888***</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-0.042</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(0.308)</w:t>
            </w:r>
          </w:p>
        </w:tc>
      </w:tr>
      <w:tr w:rsidR="00552458" w:rsidRPr="009E44F5" w:rsidTr="00910863">
        <w:trPr>
          <w:trHeight w:val="290"/>
          <w:jc w:val="center"/>
        </w:trPr>
        <w:tc>
          <w:tcPr>
            <w:tcW w:w="1898"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Size</w:t>
            </w: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-0.038</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-0.002</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(0.233)</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(0.618)</w:t>
            </w:r>
          </w:p>
        </w:tc>
      </w:tr>
      <w:tr w:rsidR="00552458" w:rsidRPr="009E44F5" w:rsidTr="00910863">
        <w:trPr>
          <w:trHeight w:val="290"/>
          <w:jc w:val="center"/>
        </w:trPr>
        <w:tc>
          <w:tcPr>
            <w:tcW w:w="1898"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Leverage</w:t>
            </w: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0.388</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(0.275)</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(0.878)</w:t>
            </w:r>
          </w:p>
        </w:tc>
      </w:tr>
      <w:tr w:rsidR="00552458" w:rsidRPr="009E44F5" w:rsidTr="00910863">
        <w:trPr>
          <w:trHeight w:val="290"/>
          <w:jc w:val="center"/>
        </w:trPr>
        <w:tc>
          <w:tcPr>
            <w:tcW w:w="1898"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ROA</w:t>
            </w: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-0.007</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-0.032</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(0.988)</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(0.590)</w:t>
            </w:r>
          </w:p>
        </w:tc>
      </w:tr>
      <w:tr w:rsidR="00552458" w:rsidRPr="009E44F5" w:rsidTr="00910863">
        <w:trPr>
          <w:trHeight w:val="290"/>
          <w:jc w:val="center"/>
        </w:trPr>
        <w:tc>
          <w:tcPr>
            <w:tcW w:w="1898"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Altman-Z</w:t>
            </w: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-0.038</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-0.003</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(0.356)</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(0.448)</w:t>
            </w:r>
          </w:p>
        </w:tc>
      </w:tr>
      <w:tr w:rsidR="00552458" w:rsidRPr="009E44F5" w:rsidTr="00910863">
        <w:trPr>
          <w:trHeight w:val="290"/>
          <w:jc w:val="center"/>
        </w:trPr>
        <w:tc>
          <w:tcPr>
            <w:tcW w:w="1898"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Cash</w:t>
            </w: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-0.995**</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-0.079</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(0.047)</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(0.160)</w:t>
            </w:r>
          </w:p>
        </w:tc>
      </w:tr>
      <w:tr w:rsidR="00552458" w:rsidRPr="009E44F5" w:rsidTr="00910863">
        <w:trPr>
          <w:trHeight w:val="290"/>
          <w:jc w:val="center"/>
        </w:trPr>
        <w:tc>
          <w:tcPr>
            <w:tcW w:w="1898"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Dividend</w:t>
            </w: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-0.106*</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-0.004</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(0.090)</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(0.554)</w:t>
            </w:r>
          </w:p>
        </w:tc>
      </w:tr>
      <w:tr w:rsidR="00552458" w:rsidRPr="009E44F5" w:rsidTr="00910863">
        <w:trPr>
          <w:trHeight w:val="290"/>
          <w:jc w:val="center"/>
        </w:trPr>
        <w:tc>
          <w:tcPr>
            <w:tcW w:w="1898"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Constant</w:t>
            </w: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0.22***</w:t>
            </w: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0.87**</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w:t>
            </w: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0.05</w:t>
            </w:r>
          </w:p>
        </w:tc>
      </w:tr>
      <w:tr w:rsidR="00552458" w:rsidRPr="009E44F5" w:rsidTr="00910863">
        <w:trPr>
          <w:trHeight w:val="290"/>
          <w:jc w:val="center"/>
        </w:trPr>
        <w:tc>
          <w:tcPr>
            <w:tcW w:w="1898"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38"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891"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(0.013)</w:t>
            </w:r>
          </w:p>
        </w:tc>
        <w:tc>
          <w:tcPr>
            <w:tcW w:w="73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(0.034)</w:t>
            </w:r>
          </w:p>
        </w:tc>
        <w:tc>
          <w:tcPr>
            <w:tcW w:w="74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(0.107)</w:t>
            </w:r>
          </w:p>
        </w:tc>
      </w:tr>
      <w:tr w:rsidR="009E44F5" w:rsidRPr="009E44F5" w:rsidTr="00910863">
        <w:trPr>
          <w:trHeight w:val="290"/>
          <w:jc w:val="center"/>
        </w:trPr>
        <w:tc>
          <w:tcPr>
            <w:tcW w:w="1898" w:type="pct"/>
            <w:vAlign w:val="center"/>
          </w:tcPr>
          <w:p w:rsidR="00034653" w:rsidRPr="009E44F5" w:rsidRDefault="00034653"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Adj-R</w:t>
            </w:r>
            <w:r w:rsidRPr="00944BB1">
              <w:rPr>
                <w:rFonts w:ascii="Times New Roman" w:hAnsi="Times New Roman" w:cs="Times New Roman"/>
                <w:sz w:val="20"/>
                <w:szCs w:val="20"/>
                <w:vertAlign w:val="superscript"/>
              </w:rPr>
              <w:t>2</w:t>
            </w:r>
          </w:p>
        </w:tc>
        <w:tc>
          <w:tcPr>
            <w:tcW w:w="738" w:type="pct"/>
            <w:vAlign w:val="center"/>
          </w:tcPr>
          <w:p w:rsidR="00034653" w:rsidRPr="009E44F5" w:rsidRDefault="00B152DC"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0.031</w:t>
            </w:r>
          </w:p>
        </w:tc>
        <w:tc>
          <w:tcPr>
            <w:tcW w:w="891" w:type="pct"/>
            <w:vAlign w:val="center"/>
          </w:tcPr>
          <w:p w:rsidR="00034653" w:rsidRPr="009E44F5" w:rsidRDefault="00F75BB4"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0.171</w:t>
            </w:r>
          </w:p>
        </w:tc>
        <w:tc>
          <w:tcPr>
            <w:tcW w:w="733" w:type="pct"/>
            <w:vAlign w:val="center"/>
          </w:tcPr>
          <w:p w:rsidR="00034653" w:rsidRPr="009E44F5" w:rsidRDefault="00034653"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0.028</w:t>
            </w:r>
          </w:p>
        </w:tc>
        <w:tc>
          <w:tcPr>
            <w:tcW w:w="740" w:type="pct"/>
            <w:vAlign w:val="center"/>
          </w:tcPr>
          <w:p w:rsidR="00034653" w:rsidRPr="009E44F5" w:rsidRDefault="003C3226"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0.068</w:t>
            </w:r>
          </w:p>
        </w:tc>
      </w:tr>
      <w:tr w:rsidR="009E44F5" w:rsidRPr="009E44F5" w:rsidTr="00910863">
        <w:trPr>
          <w:trHeight w:val="290"/>
          <w:jc w:val="center"/>
        </w:trPr>
        <w:tc>
          <w:tcPr>
            <w:tcW w:w="1898" w:type="pct"/>
            <w:vAlign w:val="center"/>
          </w:tcPr>
          <w:p w:rsidR="00034653" w:rsidRPr="009E44F5" w:rsidRDefault="00034653"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N</w:t>
            </w:r>
          </w:p>
        </w:tc>
        <w:tc>
          <w:tcPr>
            <w:tcW w:w="738" w:type="pct"/>
            <w:vAlign w:val="center"/>
          </w:tcPr>
          <w:p w:rsidR="00034653" w:rsidRPr="009E44F5" w:rsidRDefault="00034653"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w:t>
            </w:r>
            <w:r w:rsidR="001677C4" w:rsidRPr="009E44F5">
              <w:rPr>
                <w:rFonts w:ascii="Times New Roman" w:hAnsi="Times New Roman" w:cs="Times New Roman"/>
                <w:sz w:val="20"/>
                <w:szCs w:val="20"/>
              </w:rPr>
              <w:t>54</w:t>
            </w:r>
          </w:p>
        </w:tc>
        <w:tc>
          <w:tcPr>
            <w:tcW w:w="891" w:type="pct"/>
            <w:vAlign w:val="center"/>
          </w:tcPr>
          <w:p w:rsidR="00034653" w:rsidRPr="009E44F5" w:rsidRDefault="00280895"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733" w:type="pct"/>
            <w:vAlign w:val="center"/>
          </w:tcPr>
          <w:p w:rsidR="00034653" w:rsidRPr="009E44F5" w:rsidRDefault="00F75BB4"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740" w:type="pct"/>
            <w:vAlign w:val="center"/>
          </w:tcPr>
          <w:p w:rsidR="00034653" w:rsidRPr="009E44F5" w:rsidRDefault="003C3226"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r>
    </w:tbl>
    <w:p w:rsidR="00D07B4F" w:rsidRPr="009E44F5" w:rsidRDefault="00D07B4F">
      <w:pPr>
        <w:rPr>
          <w:rFonts w:ascii="Times New Roman" w:eastAsia="Times New Roman" w:hAnsi="Times New Roman" w:cs="Times New Roman"/>
          <w:b/>
          <w:sz w:val="24"/>
          <w:szCs w:val="24"/>
        </w:rPr>
      </w:pPr>
      <w:r w:rsidRPr="009E44F5">
        <w:rPr>
          <w:rFonts w:ascii="Times New Roman" w:eastAsia="Times New Roman" w:hAnsi="Times New Roman" w:cs="Times New Roman"/>
          <w:b/>
          <w:sz w:val="24"/>
          <w:szCs w:val="24"/>
        </w:rPr>
        <w:br w:type="page"/>
      </w:r>
    </w:p>
    <w:p w:rsidR="00681942" w:rsidRPr="009E44F5" w:rsidRDefault="00681942" w:rsidP="00B231E9">
      <w:pPr>
        <w:spacing w:after="0"/>
        <w:jc w:val="center"/>
        <w:rPr>
          <w:rFonts w:ascii="Times New Roman" w:eastAsia="Times New Roman" w:hAnsi="Times New Roman" w:cs="Times New Roman"/>
          <w:b/>
          <w:sz w:val="24"/>
          <w:szCs w:val="24"/>
        </w:rPr>
      </w:pPr>
      <w:proofErr w:type="gramStart"/>
      <w:r w:rsidRPr="009E44F5">
        <w:rPr>
          <w:rFonts w:ascii="Times New Roman" w:eastAsia="Times New Roman" w:hAnsi="Times New Roman" w:cs="Times New Roman"/>
          <w:b/>
          <w:sz w:val="24"/>
          <w:szCs w:val="24"/>
        </w:rPr>
        <w:lastRenderedPageBreak/>
        <w:t>Table 4.</w:t>
      </w:r>
      <w:proofErr w:type="gramEnd"/>
      <w:r w:rsidRPr="009E44F5">
        <w:rPr>
          <w:rFonts w:ascii="Times New Roman" w:eastAsia="Times New Roman" w:hAnsi="Times New Roman" w:cs="Times New Roman"/>
          <w:b/>
          <w:sz w:val="24"/>
          <w:szCs w:val="24"/>
        </w:rPr>
        <w:t xml:space="preserve"> Difference</w:t>
      </w:r>
      <w:r w:rsidR="00A41F5E">
        <w:rPr>
          <w:rFonts w:ascii="Times New Roman" w:eastAsia="Times New Roman" w:hAnsi="Times New Roman" w:cs="Times New Roman"/>
          <w:b/>
          <w:sz w:val="24"/>
          <w:szCs w:val="24"/>
        </w:rPr>
        <w:t>s</w:t>
      </w:r>
      <w:r w:rsidRPr="009E44F5">
        <w:rPr>
          <w:rFonts w:ascii="Times New Roman" w:eastAsia="Times New Roman" w:hAnsi="Times New Roman" w:cs="Times New Roman"/>
          <w:b/>
          <w:sz w:val="24"/>
          <w:szCs w:val="24"/>
        </w:rPr>
        <w:t>-in-Difference</w:t>
      </w:r>
      <w:r w:rsidR="00A41F5E">
        <w:rPr>
          <w:rFonts w:ascii="Times New Roman" w:eastAsia="Times New Roman" w:hAnsi="Times New Roman" w:cs="Times New Roman"/>
          <w:b/>
          <w:sz w:val="24"/>
          <w:szCs w:val="24"/>
        </w:rPr>
        <w:t>s</w:t>
      </w:r>
      <w:r w:rsidRPr="009E44F5">
        <w:rPr>
          <w:rFonts w:ascii="Times New Roman" w:eastAsia="Times New Roman" w:hAnsi="Times New Roman" w:cs="Times New Roman"/>
          <w:b/>
          <w:sz w:val="24"/>
          <w:szCs w:val="24"/>
        </w:rPr>
        <w:t xml:space="preserve"> Regressions: Fair Value Method Prior to FAS 123R (Control Group 2)</w:t>
      </w:r>
    </w:p>
    <w:p w:rsidR="00E74BAF" w:rsidRPr="009E44F5" w:rsidRDefault="00681942" w:rsidP="00B87971">
      <w:pPr>
        <w:tabs>
          <w:tab w:val="left" w:pos="1134"/>
          <w:tab w:val="left" w:pos="3402"/>
          <w:tab w:val="left" w:pos="4111"/>
        </w:tabs>
        <w:spacing w:after="120" w:line="240" w:lineRule="auto"/>
        <w:jc w:val="both"/>
        <w:rPr>
          <w:rFonts w:ascii="Times New Roman" w:eastAsia="Times New Roman" w:hAnsi="Times New Roman" w:cs="Times New Roman"/>
          <w:sz w:val="20"/>
          <w:szCs w:val="20"/>
        </w:rPr>
      </w:pPr>
      <w:r w:rsidRPr="009E44F5">
        <w:rPr>
          <w:rFonts w:ascii="Times New Roman" w:eastAsia="Times New Roman" w:hAnsi="Times New Roman" w:cs="Times New Roman"/>
          <w:sz w:val="20"/>
          <w:szCs w:val="20"/>
        </w:rPr>
        <w:t>This table contains the results of estimating difference</w:t>
      </w:r>
      <w:r w:rsidR="00A41F5E">
        <w:rPr>
          <w:rFonts w:ascii="Times New Roman" w:eastAsia="Times New Roman" w:hAnsi="Times New Roman" w:cs="Times New Roman"/>
          <w:sz w:val="20"/>
          <w:szCs w:val="20"/>
        </w:rPr>
        <w:t>s</w:t>
      </w:r>
      <w:r w:rsidRPr="009E44F5">
        <w:rPr>
          <w:rFonts w:ascii="Times New Roman" w:eastAsia="Times New Roman" w:hAnsi="Times New Roman" w:cs="Times New Roman"/>
          <w:sz w:val="20"/>
          <w:szCs w:val="20"/>
        </w:rPr>
        <w:t>-in-difference</w:t>
      </w:r>
      <w:r w:rsidR="00A41F5E">
        <w:rPr>
          <w:rFonts w:ascii="Times New Roman" w:eastAsia="Times New Roman" w:hAnsi="Times New Roman" w:cs="Times New Roman"/>
          <w:sz w:val="20"/>
          <w:szCs w:val="20"/>
        </w:rPr>
        <w:t>s</w:t>
      </w:r>
      <w:r w:rsidRPr="009E44F5">
        <w:rPr>
          <w:rFonts w:ascii="Times New Roman" w:eastAsia="Times New Roman" w:hAnsi="Times New Roman" w:cs="Times New Roman"/>
          <w:sz w:val="20"/>
          <w:szCs w:val="20"/>
        </w:rPr>
        <w:t xml:space="preserve"> regressions to investigate to effect of FAS 123R on corporate hedging. We take the average of each variable for each firm pre- and post-FAS 123R. </w:t>
      </w:r>
      <w:r w:rsidRPr="009E44F5">
        <w:rPr>
          <w:rFonts w:ascii="Times New Roman" w:eastAsia="Times New Roman" w:hAnsi="Times New Roman" w:cs="Times New Roman"/>
          <w:i/>
          <w:sz w:val="20"/>
          <w:szCs w:val="20"/>
        </w:rPr>
        <w:t>Post-FAS 123R</w:t>
      </w:r>
      <w:r w:rsidRPr="009E44F5">
        <w:rPr>
          <w:rFonts w:ascii="Times New Roman" w:eastAsia="Times New Roman" w:hAnsi="Times New Roman" w:cs="Times New Roman"/>
          <w:sz w:val="20"/>
          <w:szCs w:val="20"/>
        </w:rPr>
        <w:t xml:space="preserve"> is an indicator variable equal to one if the observation is after the adoption of FAS 123R. </w:t>
      </w:r>
      <w:r w:rsidRPr="009E44F5">
        <w:rPr>
          <w:rFonts w:ascii="Times New Roman" w:eastAsia="Times New Roman" w:hAnsi="Times New Roman" w:cs="Times New Roman"/>
          <w:i/>
          <w:sz w:val="20"/>
          <w:szCs w:val="20"/>
        </w:rPr>
        <w:t>Treated</w:t>
      </w:r>
      <w:r w:rsidRPr="009E44F5">
        <w:rPr>
          <w:rFonts w:ascii="Times New Roman" w:eastAsia="Times New Roman" w:hAnsi="Times New Roman" w:cs="Times New Roman"/>
          <w:sz w:val="20"/>
          <w:szCs w:val="20"/>
        </w:rPr>
        <w:t xml:space="preserve"> is an indicator variable that is one if the observation is part of the treated group i.e. firms that did not adopt the fair value method for valuing options prior to the adoption of FAS 123R. </w:t>
      </w:r>
      <w:r w:rsidRPr="009E44F5">
        <w:rPr>
          <w:rFonts w:ascii="Times New Roman" w:eastAsia="Times New Roman" w:hAnsi="Times New Roman" w:cs="Times New Roman"/>
          <w:i/>
          <w:sz w:val="20"/>
          <w:szCs w:val="20"/>
        </w:rPr>
        <w:t>Treated</w:t>
      </w:r>
      <w:r w:rsidRPr="009E44F5">
        <w:rPr>
          <w:rFonts w:ascii="Times New Roman" w:eastAsia="Times New Roman" w:hAnsi="Times New Roman" w:cs="Times New Roman"/>
          <w:sz w:val="20"/>
          <w:szCs w:val="20"/>
        </w:rPr>
        <w:t xml:space="preserve"> is equal to zero if the firm if in the control group i.e. did preemptively adopt the fair value method prior to FAS 123R. </w:t>
      </w:r>
      <w:r w:rsidRPr="009E44F5">
        <w:rPr>
          <w:rFonts w:ascii="Times New Roman" w:eastAsia="Times New Roman" w:hAnsi="Times New Roman" w:cs="Times New Roman"/>
          <w:i/>
          <w:sz w:val="20"/>
          <w:szCs w:val="20"/>
        </w:rPr>
        <w:t>Treated *Post-FAS 123R</w:t>
      </w:r>
      <w:r w:rsidRPr="009E44F5">
        <w:rPr>
          <w:rFonts w:ascii="Times New Roman" w:eastAsia="Times New Roman" w:hAnsi="Times New Roman" w:cs="Times New Roman"/>
          <w:sz w:val="20"/>
          <w:szCs w:val="20"/>
        </w:rPr>
        <w:t xml:space="preserve"> is the </w:t>
      </w:r>
      <w:r w:rsidR="00A41F5E">
        <w:rPr>
          <w:rFonts w:ascii="Times New Roman" w:eastAsia="Times New Roman" w:hAnsi="Times New Roman" w:cs="Times New Roman"/>
          <w:sz w:val="20"/>
          <w:szCs w:val="20"/>
        </w:rPr>
        <w:t>DID</w:t>
      </w:r>
      <w:r w:rsidRPr="009E44F5">
        <w:rPr>
          <w:rFonts w:ascii="Times New Roman" w:eastAsia="Times New Roman" w:hAnsi="Times New Roman" w:cs="Times New Roman"/>
          <w:sz w:val="20"/>
          <w:szCs w:val="20"/>
        </w:rPr>
        <w:t xml:space="preserve"> estimate. The table reports p-values in parentheses. All p-values are computed</w:t>
      </w:r>
      <w:r w:rsidR="00024B22" w:rsidRPr="009E44F5">
        <w:rPr>
          <w:rFonts w:ascii="Times New Roman" w:eastAsia="Times New Roman" w:hAnsi="Times New Roman" w:cs="Times New Roman"/>
          <w:sz w:val="20"/>
          <w:szCs w:val="20"/>
        </w:rPr>
        <w:t xml:space="preserve"> with standard errors clustered at the firm level</w:t>
      </w:r>
      <w:r w:rsidRPr="009E44F5">
        <w:rPr>
          <w:rFonts w:ascii="Times New Roman" w:eastAsia="Times New Roman" w:hAnsi="Times New Roman" w:cs="Times New Roman"/>
          <w:sz w:val="20"/>
          <w:szCs w:val="20"/>
        </w:rPr>
        <w:t xml:space="preserve">. </w:t>
      </w:r>
      <w:r w:rsidR="00270BEB" w:rsidRPr="009E44F5">
        <w:rPr>
          <w:rFonts w:ascii="Times New Roman" w:hAnsi="Times New Roman" w:cs="Times New Roman"/>
          <w:sz w:val="20"/>
          <w:szCs w:val="20"/>
        </w:rPr>
        <w:t>The notation ***, ** and * denote statistical significance at the 1%, 5% and 10% level, respectively.</w:t>
      </w:r>
      <w:r w:rsidR="00270BEB" w:rsidRPr="009E44F5">
        <w:rPr>
          <w:rFonts w:ascii="Times New Roman" w:eastAsia="Times New Roman" w:hAnsi="Times New Roman" w:cs="Times New Roman"/>
          <w:sz w:val="20"/>
          <w:szCs w:val="20"/>
        </w:rPr>
        <w:t xml:space="preserve"> </w:t>
      </w:r>
      <w:r w:rsidRPr="009E44F5">
        <w:rPr>
          <w:rFonts w:ascii="Times New Roman" w:eastAsia="Times New Roman" w:hAnsi="Times New Roman" w:cs="Times New Roman"/>
          <w:sz w:val="20"/>
          <w:szCs w:val="20"/>
        </w:rPr>
        <w:t>The var</w:t>
      </w:r>
      <w:r w:rsidR="002E70C5" w:rsidRPr="009E44F5">
        <w:rPr>
          <w:rFonts w:ascii="Times New Roman" w:eastAsia="Times New Roman" w:hAnsi="Times New Roman" w:cs="Times New Roman"/>
          <w:sz w:val="20"/>
          <w:szCs w:val="20"/>
        </w:rPr>
        <w:t>iables are defined in Appendix</w:t>
      </w:r>
      <w:r w:rsidRPr="009E44F5">
        <w:rPr>
          <w:rFonts w:ascii="Times New Roman" w:eastAsia="Times New Roman" w:hAnsi="Times New Roman" w:cs="Times New Roman"/>
          <w:sz w:val="20"/>
          <w:szCs w:val="20"/>
        </w:rPr>
        <w:t>.</w:t>
      </w:r>
    </w:p>
    <w:p w:rsidR="00681942" w:rsidRPr="009E44F5" w:rsidRDefault="00681942" w:rsidP="00681942">
      <w:pPr>
        <w:tabs>
          <w:tab w:val="left" w:pos="1134"/>
          <w:tab w:val="left" w:pos="3402"/>
          <w:tab w:val="left" w:pos="4111"/>
        </w:tabs>
        <w:spacing w:after="120" w:line="240" w:lineRule="auto"/>
        <w:jc w:val="both"/>
        <w:rPr>
          <w:rFonts w:ascii="Times New Roman" w:eastAsia="Times New Roman" w:hAnsi="Times New Roman" w:cs="Times New Roman"/>
          <w:sz w:val="20"/>
          <w:szCs w:val="20"/>
        </w:rPr>
      </w:pPr>
      <w:r w:rsidRPr="009E44F5">
        <w:rPr>
          <w:rFonts w:ascii="Times New Roman" w:eastAsia="Times New Roman" w:hAnsi="Times New Roman" w:cs="Times New Roman"/>
          <w:sz w:val="20"/>
          <w:szCs w:val="20"/>
        </w:rPr>
        <w:t xml:space="preserve">  </w:t>
      </w:r>
    </w:p>
    <w:tbl>
      <w:tblPr>
        <w:tblpPr w:leftFromText="180" w:rightFromText="180" w:vertAnchor="text" w:tblpXSpec="center" w:tblpY="1"/>
        <w:tblOverlap w:val="never"/>
        <w:tblW w:w="3252" w:type="pct"/>
        <w:tblBorders>
          <w:top w:val="single" w:sz="2" w:space="0" w:color="000000"/>
          <w:bottom w:val="single" w:sz="2" w:space="0" w:color="000000"/>
        </w:tblBorders>
        <w:tblLayout w:type="fixed"/>
        <w:tblLook w:val="0000"/>
      </w:tblPr>
      <w:tblGrid>
        <w:gridCol w:w="2360"/>
        <w:gridCol w:w="901"/>
        <w:gridCol w:w="1077"/>
        <w:gridCol w:w="989"/>
        <w:gridCol w:w="901"/>
      </w:tblGrid>
      <w:tr w:rsidR="009E44F5" w:rsidRPr="009E44F5" w:rsidTr="003F4195">
        <w:trPr>
          <w:trHeight w:val="290"/>
        </w:trPr>
        <w:tc>
          <w:tcPr>
            <w:tcW w:w="1895" w:type="pct"/>
            <w:tcBorders>
              <w:top w:val="single" w:sz="2" w:space="0" w:color="000000"/>
              <w:bottom w:val="single" w:sz="2" w:space="0" w:color="000000"/>
            </w:tcBorders>
          </w:tcPr>
          <w:p w:rsidR="00E74BAF" w:rsidRPr="009E44F5" w:rsidRDefault="00E74BAF" w:rsidP="00D93A8C">
            <w:pPr>
              <w:autoSpaceDE w:val="0"/>
              <w:autoSpaceDN w:val="0"/>
              <w:adjustRightInd w:val="0"/>
              <w:spacing w:after="0" w:line="240" w:lineRule="auto"/>
              <w:jc w:val="right"/>
              <w:rPr>
                <w:rFonts w:ascii="Times New Roman" w:hAnsi="Times New Roman" w:cs="Times New Roman"/>
                <w:sz w:val="20"/>
                <w:szCs w:val="20"/>
              </w:rPr>
            </w:pPr>
          </w:p>
        </w:tc>
        <w:tc>
          <w:tcPr>
            <w:tcW w:w="723" w:type="pct"/>
            <w:tcBorders>
              <w:top w:val="single" w:sz="2" w:space="0" w:color="000000"/>
              <w:bottom w:val="single" w:sz="2" w:space="0" w:color="000000"/>
            </w:tcBorders>
          </w:tcPr>
          <w:p w:rsidR="00E74BAF" w:rsidRPr="009E44F5" w:rsidRDefault="00E74BAF"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Hedge Ratio 1</w:t>
            </w:r>
          </w:p>
        </w:tc>
        <w:tc>
          <w:tcPr>
            <w:tcW w:w="865" w:type="pct"/>
            <w:tcBorders>
              <w:top w:val="single" w:sz="2" w:space="0" w:color="000000"/>
              <w:bottom w:val="single" w:sz="2" w:space="0" w:color="000000"/>
            </w:tcBorders>
          </w:tcPr>
          <w:p w:rsidR="00E74BAF" w:rsidRPr="009E44F5" w:rsidRDefault="00E74BAF"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Hedge Ratio 1</w:t>
            </w:r>
          </w:p>
        </w:tc>
        <w:tc>
          <w:tcPr>
            <w:tcW w:w="794" w:type="pct"/>
            <w:tcBorders>
              <w:top w:val="single" w:sz="2" w:space="0" w:color="000000"/>
              <w:bottom w:val="single" w:sz="2" w:space="0" w:color="000000"/>
            </w:tcBorders>
          </w:tcPr>
          <w:p w:rsidR="00E74BAF" w:rsidRPr="009E44F5" w:rsidRDefault="00E74BAF"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Hedge Ratio 2</w:t>
            </w:r>
          </w:p>
        </w:tc>
        <w:tc>
          <w:tcPr>
            <w:tcW w:w="723" w:type="pct"/>
            <w:tcBorders>
              <w:top w:val="single" w:sz="2" w:space="0" w:color="000000"/>
              <w:bottom w:val="single" w:sz="2" w:space="0" w:color="000000"/>
            </w:tcBorders>
          </w:tcPr>
          <w:p w:rsidR="00E74BAF" w:rsidRPr="009E44F5" w:rsidRDefault="00E74BAF" w:rsidP="00D93A8C">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Hedge Ratio 2</w:t>
            </w:r>
          </w:p>
        </w:tc>
      </w:tr>
      <w:tr w:rsidR="00552458" w:rsidRPr="009E44F5" w:rsidTr="00910863">
        <w:trPr>
          <w:trHeight w:val="290"/>
        </w:trPr>
        <w:tc>
          <w:tcPr>
            <w:tcW w:w="1895" w:type="pct"/>
            <w:vMerge w:val="restart"/>
            <w:tcBorders>
              <w:top w:val="single" w:sz="2" w:space="0" w:color="000000"/>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Post-FAS 123R</w:t>
            </w:r>
          </w:p>
        </w:tc>
        <w:tc>
          <w:tcPr>
            <w:tcW w:w="723"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-0.142</w:t>
            </w:r>
          </w:p>
        </w:tc>
        <w:tc>
          <w:tcPr>
            <w:tcW w:w="865"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-0.067</w:t>
            </w:r>
          </w:p>
        </w:tc>
        <w:tc>
          <w:tcPr>
            <w:tcW w:w="794"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-0.009</w:t>
            </w:r>
          </w:p>
        </w:tc>
        <w:tc>
          <w:tcPr>
            <w:tcW w:w="723"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-0.007</w:t>
            </w:r>
          </w:p>
        </w:tc>
      </w:tr>
      <w:tr w:rsidR="00552458" w:rsidRPr="009E44F5" w:rsidTr="00910863">
        <w:trPr>
          <w:trHeight w:val="290"/>
        </w:trPr>
        <w:tc>
          <w:tcPr>
            <w:tcW w:w="1895"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(0.128)</w:t>
            </w: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(0.514)</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(0.318)</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(0.670)</w:t>
            </w:r>
          </w:p>
        </w:tc>
      </w:tr>
      <w:tr w:rsidR="00552458" w:rsidRPr="009E44F5" w:rsidTr="00910863">
        <w:trPr>
          <w:trHeight w:val="290"/>
        </w:trPr>
        <w:tc>
          <w:tcPr>
            <w:tcW w:w="1895"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Treated</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-0.099</w:t>
            </w: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-0.041</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-0.008</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r>
      <w:tr w:rsidR="00552458" w:rsidRPr="009E44F5" w:rsidTr="00910863">
        <w:trPr>
          <w:trHeight w:val="290"/>
        </w:trPr>
        <w:tc>
          <w:tcPr>
            <w:tcW w:w="1895"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(0.194)</w:t>
            </w: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(0.643)</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(0.298)</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(0.891)</w:t>
            </w:r>
          </w:p>
        </w:tc>
      </w:tr>
      <w:tr w:rsidR="00552458" w:rsidRPr="009E44F5" w:rsidTr="00910863">
        <w:trPr>
          <w:trHeight w:val="290"/>
        </w:trPr>
        <w:tc>
          <w:tcPr>
            <w:tcW w:w="1895"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Treated *Post-FAS 123R</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0.224**</w:t>
            </w: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0.195*</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0.021***</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0.020**</w:t>
            </w:r>
          </w:p>
        </w:tc>
      </w:tr>
      <w:tr w:rsidR="00552458" w:rsidRPr="009E44F5" w:rsidTr="00910863">
        <w:trPr>
          <w:trHeight w:val="290"/>
        </w:trPr>
        <w:tc>
          <w:tcPr>
            <w:tcW w:w="1895"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(0.023)</w:t>
            </w: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(0.083)</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(0.009)</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(0.019)</w:t>
            </w:r>
          </w:p>
        </w:tc>
      </w:tr>
      <w:tr w:rsidR="00552458" w:rsidRPr="009E44F5" w:rsidTr="00910863">
        <w:trPr>
          <w:trHeight w:val="290"/>
        </w:trPr>
        <w:tc>
          <w:tcPr>
            <w:tcW w:w="1895"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Delta</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r>
      <w:tr w:rsidR="00552458" w:rsidRPr="009E44F5" w:rsidTr="00910863">
        <w:trPr>
          <w:trHeight w:val="290"/>
        </w:trPr>
        <w:tc>
          <w:tcPr>
            <w:tcW w:w="1895"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(0.189)</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(0.576)</w:t>
            </w:r>
          </w:p>
        </w:tc>
      </w:tr>
      <w:tr w:rsidR="00552458" w:rsidRPr="009E44F5" w:rsidTr="00910863">
        <w:trPr>
          <w:trHeight w:val="290"/>
        </w:trPr>
        <w:tc>
          <w:tcPr>
            <w:tcW w:w="1895"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Investment Growth</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-0.988***</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-0.031</w:t>
            </w:r>
          </w:p>
        </w:tc>
      </w:tr>
      <w:tr w:rsidR="00552458" w:rsidRPr="009E44F5" w:rsidTr="00910863">
        <w:trPr>
          <w:trHeight w:val="290"/>
        </w:trPr>
        <w:tc>
          <w:tcPr>
            <w:tcW w:w="1895"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(0.002)</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(0.463)</w:t>
            </w:r>
          </w:p>
        </w:tc>
      </w:tr>
      <w:tr w:rsidR="00552458" w:rsidRPr="009E44F5" w:rsidTr="00910863">
        <w:trPr>
          <w:trHeight w:val="290"/>
        </w:trPr>
        <w:tc>
          <w:tcPr>
            <w:tcW w:w="1895"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Size</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-0.028</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r>
      <w:tr w:rsidR="00552458" w:rsidRPr="009E44F5" w:rsidTr="00910863">
        <w:trPr>
          <w:trHeight w:val="290"/>
        </w:trPr>
        <w:tc>
          <w:tcPr>
            <w:tcW w:w="1895"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(0.434)</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(0.877)</w:t>
            </w:r>
          </w:p>
        </w:tc>
      </w:tr>
      <w:tr w:rsidR="00552458" w:rsidRPr="009E44F5" w:rsidTr="00910863">
        <w:trPr>
          <w:trHeight w:val="290"/>
        </w:trPr>
        <w:tc>
          <w:tcPr>
            <w:tcW w:w="1895"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Leverage</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0.459</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0.012</w:t>
            </w:r>
          </w:p>
        </w:tc>
      </w:tr>
      <w:tr w:rsidR="00552458" w:rsidRPr="009E44F5" w:rsidTr="00910863">
        <w:trPr>
          <w:trHeight w:val="290"/>
        </w:trPr>
        <w:tc>
          <w:tcPr>
            <w:tcW w:w="1895"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(0.177)</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(0.749)</w:t>
            </w:r>
          </w:p>
        </w:tc>
      </w:tr>
      <w:tr w:rsidR="00552458" w:rsidRPr="009E44F5" w:rsidTr="00910863">
        <w:trPr>
          <w:trHeight w:val="290"/>
        </w:trPr>
        <w:tc>
          <w:tcPr>
            <w:tcW w:w="1895"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ROA</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-0.005</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-0.028</w:t>
            </w:r>
          </w:p>
        </w:tc>
      </w:tr>
      <w:tr w:rsidR="00552458" w:rsidRPr="009E44F5" w:rsidTr="00910863">
        <w:trPr>
          <w:trHeight w:val="290"/>
        </w:trPr>
        <w:tc>
          <w:tcPr>
            <w:tcW w:w="1895"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(0.992)</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(0.636)</w:t>
            </w:r>
          </w:p>
        </w:tc>
      </w:tr>
      <w:tr w:rsidR="00552458" w:rsidRPr="009E44F5" w:rsidTr="00910863">
        <w:trPr>
          <w:trHeight w:val="290"/>
        </w:trPr>
        <w:tc>
          <w:tcPr>
            <w:tcW w:w="1895"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Altman-Z</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-0.035</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-0.002</w:t>
            </w:r>
          </w:p>
        </w:tc>
      </w:tr>
      <w:tr w:rsidR="00552458" w:rsidRPr="009E44F5" w:rsidTr="00910863">
        <w:trPr>
          <w:trHeight w:val="290"/>
        </w:trPr>
        <w:tc>
          <w:tcPr>
            <w:tcW w:w="1895"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(0.379)</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(0.527)</w:t>
            </w:r>
          </w:p>
        </w:tc>
      </w:tr>
      <w:tr w:rsidR="00552458" w:rsidRPr="009E44F5" w:rsidTr="00910863">
        <w:trPr>
          <w:trHeight w:val="290"/>
        </w:trPr>
        <w:tc>
          <w:tcPr>
            <w:tcW w:w="1895"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Cash</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-0.888*</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-0.0571</w:t>
            </w:r>
          </w:p>
        </w:tc>
      </w:tr>
      <w:tr w:rsidR="00552458" w:rsidRPr="009E44F5" w:rsidTr="00910863">
        <w:trPr>
          <w:trHeight w:val="290"/>
        </w:trPr>
        <w:tc>
          <w:tcPr>
            <w:tcW w:w="1895" w:type="pct"/>
            <w:vMerge/>
            <w:tcBorders>
              <w:bottom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tcBorders>
              <w:bottom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tcBorders>
              <w:bottom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(0.076)</w:t>
            </w:r>
          </w:p>
        </w:tc>
        <w:tc>
          <w:tcPr>
            <w:tcW w:w="794" w:type="pct"/>
            <w:tcBorders>
              <w:bottom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tcBorders>
              <w:bottom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(0.304)</w:t>
            </w:r>
          </w:p>
        </w:tc>
      </w:tr>
      <w:tr w:rsidR="00552458" w:rsidRPr="009E44F5" w:rsidTr="00FE2E7D">
        <w:trPr>
          <w:trHeight w:val="290"/>
        </w:trPr>
        <w:tc>
          <w:tcPr>
            <w:tcW w:w="1895" w:type="pct"/>
            <w:vMerge w:val="restart"/>
            <w:tcBorders>
              <w:top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Dividend</w:t>
            </w:r>
          </w:p>
        </w:tc>
        <w:tc>
          <w:tcPr>
            <w:tcW w:w="723" w:type="pct"/>
            <w:tcBorders>
              <w:top w:val="nil"/>
              <w:bottom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tcBorders>
              <w:top w:val="nil"/>
              <w:bottom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-0.097</w:t>
            </w:r>
          </w:p>
        </w:tc>
        <w:tc>
          <w:tcPr>
            <w:tcW w:w="794" w:type="pct"/>
            <w:tcBorders>
              <w:top w:val="nil"/>
              <w:bottom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tcBorders>
              <w:top w:val="nil"/>
              <w:bottom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-0.004</w:t>
            </w:r>
          </w:p>
        </w:tc>
      </w:tr>
      <w:tr w:rsidR="00552458" w:rsidRPr="009E44F5" w:rsidTr="00FE2E7D">
        <w:trPr>
          <w:trHeight w:val="290"/>
        </w:trPr>
        <w:tc>
          <w:tcPr>
            <w:tcW w:w="1895"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tcBorders>
              <w:top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865" w:type="pct"/>
            <w:tcBorders>
              <w:top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(0.123)</w:t>
            </w:r>
          </w:p>
        </w:tc>
        <w:tc>
          <w:tcPr>
            <w:tcW w:w="794" w:type="pct"/>
            <w:tcBorders>
              <w:top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723" w:type="pct"/>
            <w:tcBorders>
              <w:top w:val="nil"/>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(0.555)</w:t>
            </w:r>
          </w:p>
        </w:tc>
      </w:tr>
      <w:tr w:rsidR="00552458" w:rsidRPr="009E44F5" w:rsidTr="00910863">
        <w:trPr>
          <w:trHeight w:val="290"/>
        </w:trPr>
        <w:tc>
          <w:tcPr>
            <w:tcW w:w="1895"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Constant</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0.27***</w:t>
            </w: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0.74*</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w:t>
            </w:r>
          </w:p>
        </w:tc>
      </w:tr>
      <w:tr w:rsidR="00552458" w:rsidRPr="009E44F5" w:rsidTr="00910863">
        <w:trPr>
          <w:trHeight w:val="290"/>
        </w:trPr>
        <w:tc>
          <w:tcPr>
            <w:tcW w:w="1895"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865"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(0.062)</w:t>
            </w:r>
          </w:p>
        </w:tc>
        <w:tc>
          <w:tcPr>
            <w:tcW w:w="79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723"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(0.516)</w:t>
            </w:r>
          </w:p>
        </w:tc>
      </w:tr>
      <w:tr w:rsidR="009E44F5" w:rsidRPr="009E44F5" w:rsidTr="00910863">
        <w:trPr>
          <w:trHeight w:val="290"/>
        </w:trPr>
        <w:tc>
          <w:tcPr>
            <w:tcW w:w="1895" w:type="pct"/>
            <w:tcBorders>
              <w:bottom w:val="nil"/>
            </w:tcBorders>
            <w:vAlign w:val="center"/>
          </w:tcPr>
          <w:p w:rsidR="00E74BAF" w:rsidRPr="009E44F5" w:rsidRDefault="00E74BAF"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Adj-R</w:t>
            </w:r>
            <w:r w:rsidRPr="00944BB1">
              <w:rPr>
                <w:rFonts w:ascii="Times New Roman" w:hAnsi="Times New Roman" w:cs="Times New Roman"/>
                <w:sz w:val="20"/>
                <w:szCs w:val="20"/>
                <w:vertAlign w:val="superscript"/>
              </w:rPr>
              <w:t>2</w:t>
            </w:r>
          </w:p>
        </w:tc>
        <w:tc>
          <w:tcPr>
            <w:tcW w:w="723" w:type="pct"/>
            <w:tcBorders>
              <w:bottom w:val="nil"/>
            </w:tcBorders>
            <w:vAlign w:val="center"/>
          </w:tcPr>
          <w:p w:rsidR="00E74BAF" w:rsidRPr="009E44F5" w:rsidRDefault="000E5CFE"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0.039</w:t>
            </w:r>
          </w:p>
        </w:tc>
        <w:tc>
          <w:tcPr>
            <w:tcW w:w="865" w:type="pct"/>
            <w:tcBorders>
              <w:bottom w:val="nil"/>
            </w:tcBorders>
            <w:vAlign w:val="center"/>
          </w:tcPr>
          <w:p w:rsidR="00E74BAF" w:rsidRPr="009E44F5" w:rsidRDefault="003F4195"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0.181</w:t>
            </w:r>
          </w:p>
        </w:tc>
        <w:tc>
          <w:tcPr>
            <w:tcW w:w="794" w:type="pct"/>
            <w:tcBorders>
              <w:bottom w:val="nil"/>
            </w:tcBorders>
            <w:vAlign w:val="center"/>
          </w:tcPr>
          <w:p w:rsidR="00E74BAF" w:rsidRPr="009E44F5" w:rsidRDefault="000E5CFE"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0.082</w:t>
            </w:r>
          </w:p>
        </w:tc>
        <w:tc>
          <w:tcPr>
            <w:tcW w:w="723" w:type="pct"/>
            <w:tcBorders>
              <w:bottom w:val="nil"/>
            </w:tcBorders>
            <w:vAlign w:val="center"/>
          </w:tcPr>
          <w:p w:rsidR="00E74BAF" w:rsidRPr="009E44F5" w:rsidRDefault="003F4195"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0.110</w:t>
            </w:r>
          </w:p>
        </w:tc>
      </w:tr>
      <w:tr w:rsidR="009E44F5" w:rsidRPr="009E44F5" w:rsidTr="00910863">
        <w:trPr>
          <w:trHeight w:val="290"/>
        </w:trPr>
        <w:tc>
          <w:tcPr>
            <w:tcW w:w="1895" w:type="pct"/>
            <w:tcBorders>
              <w:top w:val="nil"/>
              <w:bottom w:val="single" w:sz="2" w:space="0" w:color="000000"/>
            </w:tcBorders>
            <w:vAlign w:val="center"/>
          </w:tcPr>
          <w:p w:rsidR="00E74BAF" w:rsidRPr="009E44F5" w:rsidRDefault="00E74BAF"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N</w:t>
            </w:r>
          </w:p>
        </w:tc>
        <w:tc>
          <w:tcPr>
            <w:tcW w:w="723" w:type="pct"/>
            <w:tcBorders>
              <w:top w:val="nil"/>
              <w:bottom w:val="single" w:sz="2" w:space="0" w:color="000000"/>
            </w:tcBorders>
            <w:vAlign w:val="center"/>
          </w:tcPr>
          <w:p w:rsidR="00E74BAF" w:rsidRPr="009E44F5" w:rsidRDefault="000E5CFE"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865" w:type="pct"/>
            <w:tcBorders>
              <w:top w:val="nil"/>
              <w:bottom w:val="single" w:sz="2" w:space="0" w:color="000000"/>
            </w:tcBorders>
            <w:vAlign w:val="center"/>
          </w:tcPr>
          <w:p w:rsidR="00E74BAF" w:rsidRPr="009E44F5" w:rsidRDefault="003F4195"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794" w:type="pct"/>
            <w:tcBorders>
              <w:top w:val="nil"/>
              <w:bottom w:val="single" w:sz="2" w:space="0" w:color="000000"/>
            </w:tcBorders>
            <w:vAlign w:val="center"/>
          </w:tcPr>
          <w:p w:rsidR="00E74BAF" w:rsidRPr="009E44F5" w:rsidRDefault="000E5CFE"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723" w:type="pct"/>
            <w:tcBorders>
              <w:top w:val="nil"/>
              <w:bottom w:val="single" w:sz="2" w:space="0" w:color="000000"/>
            </w:tcBorders>
            <w:vAlign w:val="center"/>
          </w:tcPr>
          <w:p w:rsidR="00E74BAF" w:rsidRPr="009E44F5" w:rsidRDefault="003F4195"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r>
    </w:tbl>
    <w:p w:rsidR="00681942" w:rsidRPr="009E44F5" w:rsidRDefault="00681942" w:rsidP="00681942">
      <w:pPr>
        <w:spacing w:after="0"/>
        <w:jc w:val="center"/>
        <w:rPr>
          <w:rFonts w:ascii="Times New Roman" w:eastAsia="Times New Roman" w:hAnsi="Times New Roman" w:cs="Times New Roman"/>
          <w:b/>
          <w:sz w:val="24"/>
          <w:szCs w:val="24"/>
        </w:rPr>
        <w:sectPr w:rsidR="00681942" w:rsidRPr="009E44F5" w:rsidSect="00A26AC3">
          <w:type w:val="continuous"/>
          <w:pgSz w:w="12240" w:h="15840" w:code="1"/>
          <w:pgMar w:top="1008" w:right="1440" w:bottom="1296" w:left="1440" w:header="720" w:footer="720" w:gutter="0"/>
          <w:cols w:space="720"/>
          <w:docGrid w:linePitch="360"/>
        </w:sectPr>
      </w:pPr>
    </w:p>
    <w:p w:rsidR="0059534A" w:rsidRPr="009E44F5" w:rsidRDefault="0059534A" w:rsidP="009E017D">
      <w:pPr>
        <w:spacing w:after="0"/>
        <w:jc w:val="center"/>
        <w:rPr>
          <w:rFonts w:ascii="Times New Roman" w:eastAsia="Times New Roman" w:hAnsi="Times New Roman" w:cs="Times New Roman"/>
          <w:b/>
          <w:sz w:val="24"/>
          <w:szCs w:val="24"/>
        </w:rPr>
      </w:pPr>
      <w:proofErr w:type="gramStart"/>
      <w:r w:rsidRPr="009E44F5">
        <w:rPr>
          <w:rFonts w:ascii="Times New Roman" w:eastAsia="Times New Roman" w:hAnsi="Times New Roman" w:cs="Times New Roman"/>
          <w:b/>
          <w:sz w:val="24"/>
          <w:szCs w:val="24"/>
        </w:rPr>
        <w:lastRenderedPageBreak/>
        <w:t>Table 5</w:t>
      </w:r>
      <w:r w:rsidR="009E017D" w:rsidRPr="009E44F5">
        <w:rPr>
          <w:rFonts w:ascii="Times New Roman" w:eastAsia="Times New Roman" w:hAnsi="Times New Roman" w:cs="Times New Roman"/>
          <w:b/>
          <w:sz w:val="24"/>
          <w:szCs w:val="24"/>
        </w:rPr>
        <w:t>.</w:t>
      </w:r>
      <w:proofErr w:type="gramEnd"/>
      <w:r w:rsidR="009E017D" w:rsidRPr="009E44F5">
        <w:rPr>
          <w:rFonts w:ascii="Times New Roman" w:eastAsia="Times New Roman" w:hAnsi="Times New Roman" w:cs="Times New Roman"/>
          <w:b/>
          <w:sz w:val="24"/>
          <w:szCs w:val="24"/>
        </w:rPr>
        <w:t xml:space="preserve"> </w:t>
      </w:r>
      <w:r w:rsidRPr="009E44F5">
        <w:rPr>
          <w:rFonts w:ascii="Times New Roman" w:eastAsia="Times New Roman" w:hAnsi="Times New Roman" w:cs="Times New Roman"/>
          <w:b/>
          <w:sz w:val="24"/>
          <w:szCs w:val="24"/>
        </w:rPr>
        <w:t>Changes around the regulation event</w:t>
      </w:r>
    </w:p>
    <w:p w:rsidR="0059534A" w:rsidRPr="009E44F5" w:rsidRDefault="0059534A" w:rsidP="00B87971">
      <w:pPr>
        <w:spacing w:line="240" w:lineRule="auto"/>
        <w:jc w:val="both"/>
        <w:rPr>
          <w:rFonts w:ascii="Times New Roman" w:eastAsia="Times New Roman" w:hAnsi="Times New Roman" w:cs="Times New Roman"/>
          <w:sz w:val="20"/>
          <w:szCs w:val="20"/>
        </w:rPr>
      </w:pPr>
      <w:r w:rsidRPr="009E44F5">
        <w:rPr>
          <w:rFonts w:ascii="Times New Roman" w:eastAsia="Times New Roman" w:hAnsi="Times New Roman" w:cs="Times New Roman"/>
          <w:sz w:val="20"/>
          <w:szCs w:val="20"/>
        </w:rPr>
        <w:t>This table contains the results of estimating difference regressions around the adoption of FAS 123R. All variables are the differences of the average pre and post-FAS 123R values. The table reports p-values in parentheses. All p-values</w:t>
      </w:r>
      <w:r w:rsidR="005E3744" w:rsidRPr="009E44F5">
        <w:rPr>
          <w:rFonts w:ascii="Times New Roman" w:eastAsia="Times New Roman" w:hAnsi="Times New Roman" w:cs="Times New Roman"/>
          <w:sz w:val="20"/>
          <w:szCs w:val="20"/>
        </w:rPr>
        <w:t xml:space="preserve"> are computed with standard errors clustered at the firm level</w:t>
      </w:r>
      <w:r w:rsidRPr="009E44F5">
        <w:rPr>
          <w:rFonts w:ascii="Times New Roman" w:eastAsia="Times New Roman" w:hAnsi="Times New Roman" w:cs="Times New Roman"/>
          <w:sz w:val="20"/>
          <w:szCs w:val="20"/>
        </w:rPr>
        <w:t xml:space="preserve">. </w:t>
      </w:r>
      <w:r w:rsidR="00270BEB" w:rsidRPr="009E44F5">
        <w:rPr>
          <w:rFonts w:ascii="Times New Roman" w:hAnsi="Times New Roman" w:cs="Times New Roman"/>
          <w:sz w:val="20"/>
          <w:szCs w:val="20"/>
        </w:rPr>
        <w:t>The notation ***, ** and * denote statistical significance at the 1%, 5% and 10% level, respectively.</w:t>
      </w:r>
      <w:r w:rsidR="00270BEB" w:rsidRPr="009E44F5">
        <w:rPr>
          <w:rFonts w:ascii="Times New Roman" w:eastAsia="Times New Roman" w:hAnsi="Times New Roman" w:cs="Times New Roman"/>
          <w:sz w:val="20"/>
          <w:szCs w:val="20"/>
        </w:rPr>
        <w:t xml:space="preserve"> </w:t>
      </w:r>
      <w:r w:rsidRPr="009E44F5">
        <w:rPr>
          <w:rFonts w:ascii="Times New Roman" w:eastAsia="Times New Roman" w:hAnsi="Times New Roman" w:cs="Times New Roman"/>
          <w:sz w:val="20"/>
          <w:szCs w:val="20"/>
        </w:rPr>
        <w:t>The var</w:t>
      </w:r>
      <w:r w:rsidR="002E70C5" w:rsidRPr="009E44F5">
        <w:rPr>
          <w:rFonts w:ascii="Times New Roman" w:eastAsia="Times New Roman" w:hAnsi="Times New Roman" w:cs="Times New Roman"/>
          <w:sz w:val="20"/>
          <w:szCs w:val="20"/>
        </w:rPr>
        <w:t>iables are defined in A</w:t>
      </w:r>
      <w:r w:rsidRPr="009E44F5">
        <w:rPr>
          <w:rFonts w:ascii="Times New Roman" w:eastAsia="Times New Roman" w:hAnsi="Times New Roman" w:cs="Times New Roman"/>
          <w:sz w:val="20"/>
          <w:szCs w:val="20"/>
        </w:rPr>
        <w:t>ppe</w:t>
      </w:r>
      <w:r w:rsidR="002E70C5" w:rsidRPr="009E44F5">
        <w:rPr>
          <w:rFonts w:ascii="Times New Roman" w:eastAsia="Times New Roman" w:hAnsi="Times New Roman" w:cs="Times New Roman"/>
          <w:sz w:val="20"/>
          <w:szCs w:val="20"/>
        </w:rPr>
        <w:t>ndix.</w:t>
      </w:r>
      <w:r w:rsidRPr="009E44F5">
        <w:rPr>
          <w:rFonts w:ascii="Times New Roman" w:eastAsia="Times New Roman" w:hAnsi="Times New Roman" w:cs="Times New Roman"/>
          <w:sz w:val="20"/>
          <w:szCs w:val="20"/>
        </w:rPr>
        <w:t xml:space="preserve">  </w:t>
      </w:r>
    </w:p>
    <w:tbl>
      <w:tblPr>
        <w:tblpPr w:leftFromText="180" w:rightFromText="180" w:vertAnchor="text" w:tblpXSpec="center" w:tblpY="1"/>
        <w:tblOverlap w:val="never"/>
        <w:tblW w:w="0" w:type="auto"/>
        <w:tblBorders>
          <w:top w:val="single" w:sz="2" w:space="0" w:color="000000"/>
          <w:bottom w:val="single" w:sz="2" w:space="0" w:color="000000"/>
        </w:tblBorders>
        <w:tblLook w:val="0000"/>
      </w:tblPr>
      <w:tblGrid>
        <w:gridCol w:w="1026"/>
        <w:gridCol w:w="303"/>
        <w:gridCol w:w="1092"/>
        <w:gridCol w:w="280"/>
        <w:gridCol w:w="222"/>
        <w:gridCol w:w="1234"/>
      </w:tblGrid>
      <w:tr w:rsidR="009E44F5" w:rsidRPr="009E44F5" w:rsidTr="00552458">
        <w:trPr>
          <w:trHeight w:val="290"/>
        </w:trPr>
        <w:tc>
          <w:tcPr>
            <w:tcW w:w="1329" w:type="dxa"/>
            <w:gridSpan w:val="2"/>
            <w:tcBorders>
              <w:top w:val="single" w:sz="2" w:space="0" w:color="000000"/>
              <w:bottom w:val="single" w:sz="2" w:space="0" w:color="000000"/>
            </w:tcBorders>
          </w:tcPr>
          <w:p w:rsidR="00681942" w:rsidRPr="009E44F5" w:rsidRDefault="00681942" w:rsidP="00681942">
            <w:pPr>
              <w:autoSpaceDE w:val="0"/>
              <w:autoSpaceDN w:val="0"/>
              <w:adjustRightInd w:val="0"/>
              <w:spacing w:after="0" w:line="240" w:lineRule="auto"/>
              <w:jc w:val="right"/>
              <w:rPr>
                <w:rFonts w:ascii="Times New Roman" w:hAnsi="Times New Roman" w:cs="Times New Roman"/>
                <w:sz w:val="20"/>
                <w:szCs w:val="20"/>
              </w:rPr>
            </w:pPr>
          </w:p>
        </w:tc>
        <w:tc>
          <w:tcPr>
            <w:tcW w:w="0" w:type="auto"/>
            <w:gridSpan w:val="2"/>
            <w:tcBorders>
              <w:top w:val="single" w:sz="2" w:space="0" w:color="000000"/>
              <w:bottom w:val="single" w:sz="2" w:space="0" w:color="000000"/>
            </w:tcBorders>
          </w:tcPr>
          <w:p w:rsidR="00681942" w:rsidRPr="009E44F5" w:rsidRDefault="00681942"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Hedge Ratio 1</w:t>
            </w:r>
          </w:p>
        </w:tc>
        <w:tc>
          <w:tcPr>
            <w:tcW w:w="1456" w:type="dxa"/>
            <w:gridSpan w:val="2"/>
            <w:tcBorders>
              <w:top w:val="single" w:sz="2" w:space="0" w:color="000000"/>
              <w:bottom w:val="single" w:sz="2" w:space="0" w:color="000000"/>
            </w:tcBorders>
          </w:tcPr>
          <w:p w:rsidR="00681942" w:rsidRPr="009E44F5" w:rsidRDefault="00681942"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Hedge Ratio 2</w:t>
            </w:r>
          </w:p>
        </w:tc>
      </w:tr>
      <w:tr w:rsidR="00552458" w:rsidRPr="009E44F5" w:rsidTr="00944BB1">
        <w:trPr>
          <w:trHeight w:val="290"/>
        </w:trPr>
        <w:tc>
          <w:tcPr>
            <w:tcW w:w="1329" w:type="dxa"/>
            <w:gridSpan w:val="2"/>
            <w:vMerge w:val="restart"/>
            <w:tcBorders>
              <w:top w:val="single" w:sz="2" w:space="0" w:color="000000"/>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w:t>
            </w:r>
            <w:proofErr w:type="spellStart"/>
            <w:r w:rsidRPr="009E44F5">
              <w:rPr>
                <w:rFonts w:ascii="Times New Roman" w:hAnsi="Times New Roman" w:cs="Times New Roman"/>
                <w:sz w:val="20"/>
                <w:szCs w:val="20"/>
              </w:rPr>
              <w:t>vega</w:t>
            </w:r>
            <w:proofErr w:type="spellEnd"/>
            <w:r w:rsidRPr="009E44F5">
              <w:rPr>
                <w:rFonts w:ascii="Times New Roman" w:hAnsi="Times New Roman" w:cs="Times New Roman"/>
                <w:sz w:val="20"/>
                <w:szCs w:val="20"/>
              </w:rPr>
              <w:t>)</w:t>
            </w:r>
          </w:p>
        </w:tc>
        <w:tc>
          <w:tcPr>
            <w:tcW w:w="0" w:type="auto"/>
            <w:tcBorders>
              <w:top w:val="single" w:sz="2" w:space="0" w:color="000000"/>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0" w:type="auto"/>
            <w:tcBorders>
              <w:top w:val="single" w:sz="2" w:space="0" w:color="000000"/>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2" w:space="0" w:color="000000"/>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single" w:sz="2" w:space="0" w:color="000000"/>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-0.0001**</w:t>
            </w:r>
          </w:p>
        </w:tc>
      </w:tr>
      <w:tr w:rsidR="00552458" w:rsidRPr="009E44F5" w:rsidTr="00944BB1">
        <w:trPr>
          <w:trHeight w:val="290"/>
        </w:trPr>
        <w:tc>
          <w:tcPr>
            <w:tcW w:w="1329" w:type="dxa"/>
            <w:gridSpan w:val="2"/>
            <w:vMerge/>
            <w:tcBorders>
              <w:bottom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(0.068)</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(0.019)</w:t>
            </w:r>
          </w:p>
        </w:tc>
      </w:tr>
      <w:tr w:rsidR="00552458" w:rsidRPr="009E44F5" w:rsidTr="00944BB1">
        <w:trPr>
          <w:trHeight w:val="290"/>
        </w:trPr>
        <w:tc>
          <w:tcPr>
            <w:tcW w:w="1329" w:type="dxa"/>
            <w:gridSpan w:val="2"/>
            <w:vMerge w:val="restart"/>
            <w:tcBorders>
              <w:top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d(delta)</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r>
      <w:tr w:rsidR="00552458" w:rsidRPr="009E44F5" w:rsidTr="00944BB1">
        <w:trPr>
          <w:trHeight w:val="290"/>
        </w:trPr>
        <w:tc>
          <w:tcPr>
            <w:tcW w:w="1329" w:type="dxa"/>
            <w:gridSpan w:val="2"/>
            <w:vMerge/>
            <w:tcBorders>
              <w:bottom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(0.996)</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(0.969)</w:t>
            </w:r>
          </w:p>
        </w:tc>
      </w:tr>
      <w:tr w:rsidR="00552458" w:rsidRPr="009E44F5" w:rsidTr="00944BB1">
        <w:trPr>
          <w:trHeight w:val="290"/>
        </w:trPr>
        <w:tc>
          <w:tcPr>
            <w:tcW w:w="1329" w:type="dxa"/>
            <w:gridSpan w:val="2"/>
            <w:vMerge w:val="restart"/>
            <w:tcBorders>
              <w:top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w:t>
            </w:r>
            <w:proofErr w:type="spellStart"/>
            <w:r w:rsidRPr="009E44F5">
              <w:rPr>
                <w:rFonts w:ascii="Times New Roman" w:hAnsi="Times New Roman" w:cs="Times New Roman"/>
                <w:sz w:val="20"/>
                <w:szCs w:val="20"/>
              </w:rPr>
              <w:t>InvGrowth</w:t>
            </w:r>
            <w:proofErr w:type="spellEnd"/>
            <w:r w:rsidRPr="009E44F5">
              <w:rPr>
                <w:rFonts w:ascii="Times New Roman" w:hAnsi="Times New Roman" w:cs="Times New Roman"/>
                <w:sz w:val="20"/>
                <w:szCs w:val="20"/>
              </w:rPr>
              <w:t>)</w:t>
            </w:r>
          </w:p>
        </w:tc>
        <w:tc>
          <w:tcPr>
            <w:tcW w:w="0" w:type="auto"/>
            <w:tcBorders>
              <w:top w:val="nil"/>
              <w:bottom w:val="nil"/>
            </w:tcBorders>
          </w:tcPr>
          <w:p w:rsidR="00552458" w:rsidRPr="009E44F5" w:rsidRDefault="00552458" w:rsidP="00CD010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-0.529*</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702B9A">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-0.019</w:t>
            </w:r>
          </w:p>
        </w:tc>
      </w:tr>
      <w:tr w:rsidR="00552458" w:rsidRPr="009E44F5" w:rsidTr="00944BB1">
        <w:trPr>
          <w:trHeight w:val="290"/>
        </w:trPr>
        <w:tc>
          <w:tcPr>
            <w:tcW w:w="1329" w:type="dxa"/>
            <w:gridSpan w:val="2"/>
            <w:vMerge/>
            <w:tcBorders>
              <w:bottom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(0.066)</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702B9A">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(0.472)</w:t>
            </w:r>
          </w:p>
        </w:tc>
      </w:tr>
      <w:tr w:rsidR="00552458" w:rsidRPr="009E44F5" w:rsidTr="00944BB1">
        <w:trPr>
          <w:trHeight w:val="290"/>
        </w:trPr>
        <w:tc>
          <w:tcPr>
            <w:tcW w:w="1329" w:type="dxa"/>
            <w:gridSpan w:val="2"/>
            <w:vMerge w:val="restart"/>
            <w:tcBorders>
              <w:top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d(Size)</w:t>
            </w:r>
          </w:p>
        </w:tc>
        <w:tc>
          <w:tcPr>
            <w:tcW w:w="0" w:type="auto"/>
            <w:tcBorders>
              <w:top w:val="nil"/>
              <w:bottom w:val="nil"/>
            </w:tcBorders>
          </w:tcPr>
          <w:p w:rsidR="00552458" w:rsidRPr="009E44F5" w:rsidRDefault="00552458" w:rsidP="00CD010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0.047</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0.004</w:t>
            </w:r>
          </w:p>
        </w:tc>
      </w:tr>
      <w:tr w:rsidR="00552458" w:rsidRPr="009E44F5" w:rsidTr="00944BB1">
        <w:trPr>
          <w:trHeight w:val="290"/>
        </w:trPr>
        <w:tc>
          <w:tcPr>
            <w:tcW w:w="1329" w:type="dxa"/>
            <w:gridSpan w:val="2"/>
            <w:vMerge/>
            <w:tcBorders>
              <w:bottom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(0.184)</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(0.185)</w:t>
            </w:r>
          </w:p>
        </w:tc>
      </w:tr>
      <w:tr w:rsidR="00552458" w:rsidRPr="009E44F5" w:rsidTr="00944BB1">
        <w:trPr>
          <w:trHeight w:val="290"/>
        </w:trPr>
        <w:tc>
          <w:tcPr>
            <w:tcW w:w="1329" w:type="dxa"/>
            <w:gridSpan w:val="2"/>
            <w:vMerge w:val="restart"/>
            <w:tcBorders>
              <w:top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d(Leverage)</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0.769**</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0.047</w:t>
            </w:r>
          </w:p>
        </w:tc>
      </w:tr>
      <w:tr w:rsidR="00552458" w:rsidRPr="009E44F5" w:rsidTr="00944BB1">
        <w:trPr>
          <w:trHeight w:val="290"/>
        </w:trPr>
        <w:tc>
          <w:tcPr>
            <w:tcW w:w="1329" w:type="dxa"/>
            <w:gridSpan w:val="2"/>
            <w:vMerge/>
            <w:tcBorders>
              <w:bottom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(0.035)</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(0.128)</w:t>
            </w:r>
          </w:p>
        </w:tc>
      </w:tr>
      <w:tr w:rsidR="00552458" w:rsidRPr="009E44F5" w:rsidTr="00944BB1">
        <w:trPr>
          <w:trHeight w:val="290"/>
        </w:trPr>
        <w:tc>
          <w:tcPr>
            <w:tcW w:w="1329" w:type="dxa"/>
            <w:gridSpan w:val="2"/>
            <w:vMerge w:val="restart"/>
            <w:tcBorders>
              <w:top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d(ROA)</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0.174</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702B9A">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0.010</w:t>
            </w:r>
          </w:p>
        </w:tc>
      </w:tr>
      <w:tr w:rsidR="00552458" w:rsidRPr="009E44F5" w:rsidTr="00944BB1">
        <w:trPr>
          <w:trHeight w:val="290"/>
        </w:trPr>
        <w:tc>
          <w:tcPr>
            <w:tcW w:w="1329" w:type="dxa"/>
            <w:gridSpan w:val="2"/>
            <w:vMerge/>
            <w:tcBorders>
              <w:bottom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(0.622)</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(0.765)</w:t>
            </w:r>
          </w:p>
        </w:tc>
      </w:tr>
      <w:tr w:rsidR="00552458" w:rsidRPr="009E44F5" w:rsidTr="00944BB1">
        <w:trPr>
          <w:trHeight w:val="290"/>
        </w:trPr>
        <w:tc>
          <w:tcPr>
            <w:tcW w:w="1329" w:type="dxa"/>
            <w:gridSpan w:val="2"/>
            <w:vMerge w:val="restart"/>
            <w:tcBorders>
              <w:top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d(Altman-Z)</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0.008</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r>
      <w:tr w:rsidR="00552458" w:rsidRPr="009E44F5" w:rsidTr="00944BB1">
        <w:trPr>
          <w:trHeight w:val="290"/>
        </w:trPr>
        <w:tc>
          <w:tcPr>
            <w:tcW w:w="1329" w:type="dxa"/>
            <w:gridSpan w:val="2"/>
            <w:vMerge/>
            <w:tcBorders>
              <w:bottom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(0.816)</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(0.896)</w:t>
            </w:r>
          </w:p>
        </w:tc>
      </w:tr>
      <w:tr w:rsidR="00552458" w:rsidRPr="009E44F5" w:rsidTr="00944BB1">
        <w:trPr>
          <w:trHeight w:val="290"/>
        </w:trPr>
        <w:tc>
          <w:tcPr>
            <w:tcW w:w="1329" w:type="dxa"/>
            <w:gridSpan w:val="2"/>
            <w:vMerge w:val="restart"/>
            <w:tcBorders>
              <w:top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d(Cash)</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-0.337</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-0.040</w:t>
            </w:r>
          </w:p>
        </w:tc>
      </w:tr>
      <w:tr w:rsidR="00552458" w:rsidRPr="009E44F5" w:rsidTr="00944BB1">
        <w:trPr>
          <w:trHeight w:val="290"/>
        </w:trPr>
        <w:tc>
          <w:tcPr>
            <w:tcW w:w="1329" w:type="dxa"/>
            <w:gridSpan w:val="2"/>
            <w:vMerge/>
            <w:tcBorders>
              <w:bottom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(0.502)</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(0.369)</w:t>
            </w:r>
          </w:p>
        </w:tc>
      </w:tr>
      <w:tr w:rsidR="00552458" w:rsidRPr="009E44F5" w:rsidTr="00944BB1">
        <w:trPr>
          <w:trHeight w:val="290"/>
        </w:trPr>
        <w:tc>
          <w:tcPr>
            <w:tcW w:w="1329" w:type="dxa"/>
            <w:gridSpan w:val="2"/>
            <w:vMerge w:val="restart"/>
            <w:tcBorders>
              <w:top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d(Dividend)</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-0.011</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r>
      <w:tr w:rsidR="00552458" w:rsidRPr="009E44F5" w:rsidTr="00944BB1">
        <w:trPr>
          <w:trHeight w:val="290"/>
        </w:trPr>
        <w:tc>
          <w:tcPr>
            <w:tcW w:w="1329" w:type="dxa"/>
            <w:gridSpan w:val="2"/>
            <w:vMerge/>
            <w:tcBorders>
              <w:bottom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CD010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(0.870)</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(0.992)</w:t>
            </w:r>
          </w:p>
        </w:tc>
      </w:tr>
      <w:tr w:rsidR="00552458" w:rsidRPr="009E44F5" w:rsidTr="00944BB1">
        <w:trPr>
          <w:trHeight w:val="290"/>
        </w:trPr>
        <w:tc>
          <w:tcPr>
            <w:tcW w:w="1329" w:type="dxa"/>
            <w:gridSpan w:val="2"/>
            <w:vMerge w:val="restart"/>
            <w:tcBorders>
              <w:top w:val="nil"/>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Cons</w:t>
            </w:r>
            <w:r>
              <w:rPr>
                <w:rFonts w:ascii="Times New Roman" w:hAnsi="Times New Roman" w:cs="Times New Roman"/>
                <w:sz w:val="20"/>
                <w:szCs w:val="20"/>
              </w:rPr>
              <w:t>tant</w:t>
            </w:r>
          </w:p>
        </w:tc>
        <w:tc>
          <w:tcPr>
            <w:tcW w:w="0" w:type="auto"/>
            <w:tcBorders>
              <w:top w:val="nil"/>
              <w:bottom w:val="nil"/>
            </w:tcBorders>
          </w:tcPr>
          <w:p w:rsidR="00552458" w:rsidRPr="009E44F5" w:rsidRDefault="00552458" w:rsidP="00CD010D">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-0.157</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702B9A">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-0.012</w:t>
            </w:r>
          </w:p>
        </w:tc>
      </w:tr>
      <w:tr w:rsidR="00552458" w:rsidRPr="009E44F5" w:rsidTr="00FE2E7D">
        <w:trPr>
          <w:trHeight w:val="290"/>
        </w:trPr>
        <w:tc>
          <w:tcPr>
            <w:tcW w:w="1329" w:type="dxa"/>
            <w:gridSpan w:val="2"/>
            <w:vMerge/>
            <w:tcBorders>
              <w:bottom w:val="nil"/>
            </w:tcBorders>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(0.662)</w:t>
            </w: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552458" w:rsidRPr="009E44F5" w:rsidRDefault="00552458"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(0.718)</w:t>
            </w:r>
          </w:p>
        </w:tc>
      </w:tr>
      <w:tr w:rsidR="009E44F5" w:rsidRPr="009E44F5" w:rsidTr="00552458">
        <w:trPr>
          <w:trHeight w:val="290"/>
        </w:trPr>
        <w:tc>
          <w:tcPr>
            <w:tcW w:w="1329" w:type="dxa"/>
            <w:gridSpan w:val="2"/>
            <w:tcBorders>
              <w:top w:val="nil"/>
              <w:bottom w:val="nil"/>
            </w:tcBorders>
          </w:tcPr>
          <w:p w:rsidR="00681942" w:rsidRPr="009E44F5" w:rsidRDefault="00681942"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Adj-R</w:t>
            </w:r>
            <w:r w:rsidRPr="00944BB1">
              <w:rPr>
                <w:rFonts w:ascii="Times New Roman" w:hAnsi="Times New Roman" w:cs="Times New Roman"/>
                <w:sz w:val="20"/>
                <w:szCs w:val="20"/>
                <w:vertAlign w:val="superscript"/>
              </w:rPr>
              <w:t>2</w:t>
            </w:r>
          </w:p>
        </w:tc>
        <w:tc>
          <w:tcPr>
            <w:tcW w:w="0" w:type="auto"/>
            <w:tcBorders>
              <w:top w:val="nil"/>
              <w:bottom w:val="nil"/>
            </w:tcBorders>
          </w:tcPr>
          <w:p w:rsidR="00681942" w:rsidRPr="009E44F5" w:rsidRDefault="00CD010D"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0.164</w:t>
            </w:r>
          </w:p>
        </w:tc>
        <w:tc>
          <w:tcPr>
            <w:tcW w:w="0" w:type="auto"/>
            <w:tcBorders>
              <w:top w:val="nil"/>
              <w:bottom w:val="nil"/>
            </w:tcBorders>
          </w:tcPr>
          <w:p w:rsidR="00681942" w:rsidRPr="009E44F5" w:rsidRDefault="00681942"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nil"/>
            </w:tcBorders>
          </w:tcPr>
          <w:p w:rsidR="00681942" w:rsidRPr="009E44F5" w:rsidRDefault="00681942"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nil"/>
            </w:tcBorders>
          </w:tcPr>
          <w:p w:rsidR="00681942" w:rsidRPr="009E44F5" w:rsidRDefault="00CD010D"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0.132</w:t>
            </w:r>
          </w:p>
        </w:tc>
      </w:tr>
      <w:tr w:rsidR="009E44F5" w:rsidRPr="009E44F5" w:rsidTr="00552458">
        <w:trPr>
          <w:trHeight w:val="290"/>
        </w:trPr>
        <w:tc>
          <w:tcPr>
            <w:tcW w:w="1329" w:type="dxa"/>
            <w:gridSpan w:val="2"/>
            <w:tcBorders>
              <w:top w:val="nil"/>
              <w:bottom w:val="single" w:sz="2" w:space="0" w:color="000000"/>
            </w:tcBorders>
          </w:tcPr>
          <w:p w:rsidR="00681942" w:rsidRPr="009E44F5" w:rsidRDefault="00681942"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N</w:t>
            </w:r>
          </w:p>
        </w:tc>
        <w:tc>
          <w:tcPr>
            <w:tcW w:w="0" w:type="auto"/>
            <w:tcBorders>
              <w:top w:val="nil"/>
              <w:bottom w:val="single" w:sz="2" w:space="0" w:color="000000"/>
            </w:tcBorders>
          </w:tcPr>
          <w:p w:rsidR="00681942" w:rsidRPr="009E44F5" w:rsidRDefault="006C145A"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46</w:t>
            </w:r>
          </w:p>
        </w:tc>
        <w:tc>
          <w:tcPr>
            <w:tcW w:w="0" w:type="auto"/>
            <w:tcBorders>
              <w:top w:val="nil"/>
              <w:bottom w:val="single" w:sz="2" w:space="0" w:color="000000"/>
            </w:tcBorders>
          </w:tcPr>
          <w:p w:rsidR="00681942" w:rsidRPr="009E44F5" w:rsidRDefault="00681942" w:rsidP="00681942">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nil"/>
              <w:bottom w:val="single" w:sz="2" w:space="0" w:color="000000"/>
            </w:tcBorders>
          </w:tcPr>
          <w:p w:rsidR="00681942" w:rsidRPr="009E44F5" w:rsidRDefault="00681942" w:rsidP="00681942">
            <w:pPr>
              <w:autoSpaceDE w:val="0"/>
              <w:autoSpaceDN w:val="0"/>
              <w:adjustRightInd w:val="0"/>
              <w:spacing w:after="0" w:line="240" w:lineRule="auto"/>
              <w:jc w:val="center"/>
              <w:rPr>
                <w:rFonts w:ascii="Times New Roman" w:hAnsi="Times New Roman" w:cs="Times New Roman"/>
                <w:sz w:val="20"/>
                <w:szCs w:val="20"/>
              </w:rPr>
            </w:pPr>
          </w:p>
        </w:tc>
        <w:tc>
          <w:tcPr>
            <w:tcW w:w="1234" w:type="dxa"/>
            <w:tcBorders>
              <w:top w:val="nil"/>
              <w:bottom w:val="single" w:sz="2" w:space="0" w:color="000000"/>
            </w:tcBorders>
          </w:tcPr>
          <w:p w:rsidR="00681942" w:rsidRPr="009E44F5" w:rsidRDefault="006C145A" w:rsidP="00681942">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46</w:t>
            </w:r>
          </w:p>
        </w:tc>
      </w:tr>
      <w:tr w:rsidR="009E44F5" w:rsidRPr="009E44F5" w:rsidTr="00681942">
        <w:trPr>
          <w:gridAfter w:val="5"/>
          <w:wAfter w:w="3131" w:type="dxa"/>
          <w:trHeight w:val="290"/>
        </w:trPr>
        <w:tc>
          <w:tcPr>
            <w:tcW w:w="1026" w:type="dxa"/>
            <w:tcBorders>
              <w:top w:val="nil"/>
              <w:bottom w:val="nil"/>
            </w:tcBorders>
          </w:tcPr>
          <w:p w:rsidR="00681942" w:rsidRPr="009E44F5" w:rsidRDefault="00681942" w:rsidP="0059534A">
            <w:pPr>
              <w:autoSpaceDE w:val="0"/>
              <w:autoSpaceDN w:val="0"/>
              <w:adjustRightInd w:val="0"/>
              <w:spacing w:after="0" w:line="240" w:lineRule="auto"/>
              <w:jc w:val="center"/>
              <w:rPr>
                <w:rFonts w:ascii="Times New Roman" w:hAnsi="Times New Roman" w:cs="Times New Roman"/>
                <w:sz w:val="20"/>
                <w:szCs w:val="20"/>
              </w:rPr>
            </w:pPr>
          </w:p>
        </w:tc>
      </w:tr>
    </w:tbl>
    <w:p w:rsidR="000A3F0B" w:rsidRPr="009E44F5" w:rsidRDefault="0059534A" w:rsidP="000A3F0B">
      <w:pPr>
        <w:spacing w:after="0"/>
        <w:jc w:val="center"/>
        <w:rPr>
          <w:rFonts w:ascii="Times New Roman" w:eastAsia="Times New Roman" w:hAnsi="Times New Roman" w:cs="Times New Roman"/>
          <w:b/>
          <w:sz w:val="24"/>
          <w:szCs w:val="24"/>
        </w:rPr>
      </w:pPr>
      <w:r w:rsidRPr="009E44F5">
        <w:rPr>
          <w:rFonts w:ascii="Times New Roman" w:eastAsia="Times New Roman" w:hAnsi="Times New Roman" w:cs="Times New Roman"/>
          <w:b/>
          <w:sz w:val="24"/>
          <w:szCs w:val="24"/>
        </w:rPr>
        <w:br w:type="page"/>
      </w:r>
      <w:proofErr w:type="gramStart"/>
      <w:r w:rsidR="000A3F0B" w:rsidRPr="009E44F5">
        <w:rPr>
          <w:rFonts w:ascii="Times New Roman" w:eastAsia="Times New Roman" w:hAnsi="Times New Roman" w:cs="Times New Roman"/>
          <w:b/>
          <w:sz w:val="24"/>
          <w:szCs w:val="24"/>
        </w:rPr>
        <w:lastRenderedPageBreak/>
        <w:t>Table 6.</w:t>
      </w:r>
      <w:proofErr w:type="gramEnd"/>
      <w:r w:rsidR="000A3F0B" w:rsidRPr="009E44F5">
        <w:rPr>
          <w:rFonts w:ascii="Times New Roman" w:eastAsia="Times New Roman" w:hAnsi="Times New Roman" w:cs="Times New Roman"/>
          <w:b/>
          <w:sz w:val="24"/>
          <w:szCs w:val="24"/>
        </w:rPr>
        <w:t xml:space="preserve"> Difference</w:t>
      </w:r>
      <w:r w:rsidR="00A41F5E">
        <w:rPr>
          <w:rFonts w:ascii="Times New Roman" w:eastAsia="Times New Roman" w:hAnsi="Times New Roman" w:cs="Times New Roman"/>
          <w:b/>
          <w:sz w:val="24"/>
          <w:szCs w:val="24"/>
        </w:rPr>
        <w:t>s</w:t>
      </w:r>
      <w:r w:rsidR="000A3F0B" w:rsidRPr="009E44F5">
        <w:rPr>
          <w:rFonts w:ascii="Times New Roman" w:eastAsia="Times New Roman" w:hAnsi="Times New Roman" w:cs="Times New Roman"/>
          <w:b/>
          <w:sz w:val="24"/>
          <w:szCs w:val="24"/>
        </w:rPr>
        <w:t>-in-Difference</w:t>
      </w:r>
      <w:r w:rsidR="00A41F5E">
        <w:rPr>
          <w:rFonts w:ascii="Times New Roman" w:eastAsia="Times New Roman" w:hAnsi="Times New Roman" w:cs="Times New Roman"/>
          <w:b/>
          <w:sz w:val="24"/>
          <w:szCs w:val="24"/>
        </w:rPr>
        <w:t>s</w:t>
      </w:r>
      <w:r w:rsidR="000A3F0B" w:rsidRPr="009E44F5">
        <w:rPr>
          <w:rFonts w:ascii="Times New Roman" w:eastAsia="Times New Roman" w:hAnsi="Times New Roman" w:cs="Times New Roman"/>
          <w:b/>
          <w:sz w:val="24"/>
          <w:szCs w:val="24"/>
        </w:rPr>
        <w:t xml:space="preserve"> Regressions: </w:t>
      </w:r>
      <w:r w:rsidR="000A3F0B" w:rsidRPr="009E44F5">
        <w:rPr>
          <w:rFonts w:ascii="Times New Roman" w:hAnsi="Times New Roman" w:cs="Times New Roman"/>
          <w:b/>
          <w:sz w:val="24"/>
          <w:szCs w:val="24"/>
        </w:rPr>
        <w:t xml:space="preserve">Changes in Investment and Financing Policies </w:t>
      </w:r>
      <w:r w:rsidR="000A3F0B" w:rsidRPr="009E44F5">
        <w:rPr>
          <w:rFonts w:ascii="Times New Roman" w:eastAsia="Times New Roman" w:hAnsi="Times New Roman" w:cs="Times New Roman"/>
          <w:b/>
          <w:sz w:val="24"/>
          <w:szCs w:val="24"/>
        </w:rPr>
        <w:t>around FAS 123R</w:t>
      </w:r>
    </w:p>
    <w:p w:rsidR="000A3F0B" w:rsidRPr="009E44F5" w:rsidRDefault="000A3F0B" w:rsidP="000A3F0B">
      <w:pPr>
        <w:tabs>
          <w:tab w:val="left" w:pos="1134"/>
          <w:tab w:val="left" w:pos="3402"/>
          <w:tab w:val="left" w:pos="4111"/>
        </w:tabs>
        <w:spacing w:after="100" w:afterAutospacing="1" w:line="240" w:lineRule="auto"/>
        <w:jc w:val="both"/>
        <w:rPr>
          <w:rFonts w:ascii="Times New Roman" w:eastAsia="Times New Roman" w:hAnsi="Times New Roman" w:cs="Times New Roman"/>
          <w:sz w:val="20"/>
          <w:szCs w:val="20"/>
        </w:rPr>
      </w:pPr>
      <w:r w:rsidRPr="009E44F5">
        <w:rPr>
          <w:rFonts w:ascii="Times New Roman" w:eastAsia="Times New Roman" w:hAnsi="Times New Roman" w:cs="Times New Roman"/>
          <w:sz w:val="20"/>
          <w:szCs w:val="20"/>
        </w:rPr>
        <w:t>This table contains the results of estimating difference</w:t>
      </w:r>
      <w:r w:rsidR="00A41F5E">
        <w:rPr>
          <w:rFonts w:ascii="Times New Roman" w:eastAsia="Times New Roman" w:hAnsi="Times New Roman" w:cs="Times New Roman"/>
          <w:sz w:val="20"/>
          <w:szCs w:val="20"/>
        </w:rPr>
        <w:t>s</w:t>
      </w:r>
      <w:r w:rsidRPr="009E44F5">
        <w:rPr>
          <w:rFonts w:ascii="Times New Roman" w:eastAsia="Times New Roman" w:hAnsi="Times New Roman" w:cs="Times New Roman"/>
          <w:sz w:val="20"/>
          <w:szCs w:val="20"/>
        </w:rPr>
        <w:t>-in-difference</w:t>
      </w:r>
      <w:r w:rsidR="00A41F5E">
        <w:rPr>
          <w:rFonts w:ascii="Times New Roman" w:eastAsia="Times New Roman" w:hAnsi="Times New Roman" w:cs="Times New Roman"/>
          <w:sz w:val="20"/>
          <w:szCs w:val="20"/>
        </w:rPr>
        <w:t>s</w:t>
      </w:r>
      <w:r w:rsidRPr="009E44F5">
        <w:rPr>
          <w:rFonts w:ascii="Times New Roman" w:eastAsia="Times New Roman" w:hAnsi="Times New Roman" w:cs="Times New Roman"/>
          <w:sz w:val="20"/>
          <w:szCs w:val="20"/>
        </w:rPr>
        <w:t xml:space="preserve"> regressions to investigate to effect of FAS 123R on corporate investment and financing policies. We take the average of each variable for each firm pre- and post-FAS 123R. </w:t>
      </w:r>
      <w:r w:rsidRPr="009E44F5">
        <w:rPr>
          <w:rFonts w:ascii="Times New Roman" w:eastAsia="Times New Roman" w:hAnsi="Times New Roman" w:cs="Times New Roman"/>
          <w:i/>
          <w:sz w:val="20"/>
          <w:szCs w:val="20"/>
        </w:rPr>
        <w:t>Post-FAS 123R</w:t>
      </w:r>
      <w:r w:rsidRPr="009E44F5">
        <w:rPr>
          <w:rFonts w:ascii="Times New Roman" w:eastAsia="Times New Roman" w:hAnsi="Times New Roman" w:cs="Times New Roman"/>
          <w:sz w:val="20"/>
          <w:szCs w:val="20"/>
        </w:rPr>
        <w:t xml:space="preserve"> is an indicator variable equal to one if the observation is after the adoption of FAS 123R. </w:t>
      </w:r>
      <w:r w:rsidRPr="009E44F5">
        <w:rPr>
          <w:rFonts w:ascii="Times New Roman" w:eastAsia="Times New Roman" w:hAnsi="Times New Roman" w:cs="Times New Roman"/>
          <w:i/>
          <w:sz w:val="20"/>
          <w:szCs w:val="20"/>
        </w:rPr>
        <w:t>Treated</w:t>
      </w:r>
      <w:r w:rsidRPr="009E44F5">
        <w:rPr>
          <w:rFonts w:ascii="Times New Roman" w:eastAsia="Times New Roman" w:hAnsi="Times New Roman" w:cs="Times New Roman"/>
          <w:sz w:val="20"/>
          <w:szCs w:val="20"/>
        </w:rPr>
        <w:t xml:space="preserve"> is an indicator variable that is one if the observation is part of the treated group i.e. firms that did not have option pay prior to the adoption of FAS 123R. When using Control Group 1, </w:t>
      </w:r>
      <w:r w:rsidRPr="009E44F5">
        <w:rPr>
          <w:rFonts w:ascii="Times New Roman" w:eastAsia="Times New Roman" w:hAnsi="Times New Roman" w:cs="Times New Roman"/>
          <w:i/>
          <w:sz w:val="20"/>
          <w:szCs w:val="20"/>
        </w:rPr>
        <w:t>Treated</w:t>
      </w:r>
      <w:r w:rsidRPr="009E44F5">
        <w:rPr>
          <w:rFonts w:ascii="Times New Roman" w:eastAsia="Times New Roman" w:hAnsi="Times New Roman" w:cs="Times New Roman"/>
          <w:sz w:val="20"/>
          <w:szCs w:val="20"/>
        </w:rPr>
        <w:t xml:space="preserve"> is equal to zero if the firm if in the control group i.e. did not pay options prior to FAS 123R. When using Control Group 2, </w:t>
      </w:r>
      <w:r w:rsidRPr="009E44F5">
        <w:rPr>
          <w:rFonts w:ascii="Times New Roman" w:eastAsia="Times New Roman" w:hAnsi="Times New Roman" w:cs="Times New Roman"/>
          <w:i/>
          <w:sz w:val="20"/>
          <w:szCs w:val="20"/>
        </w:rPr>
        <w:t>Treated</w:t>
      </w:r>
      <w:r w:rsidRPr="009E44F5">
        <w:rPr>
          <w:rFonts w:ascii="Times New Roman" w:eastAsia="Times New Roman" w:hAnsi="Times New Roman" w:cs="Times New Roman"/>
          <w:sz w:val="20"/>
          <w:szCs w:val="20"/>
        </w:rPr>
        <w:t xml:space="preserve"> is equal to zero if the firm if in the control group i.e. did preemptively adopt the fair value method prior to FAS 123R. </w:t>
      </w:r>
      <w:r w:rsidRPr="009E44F5">
        <w:rPr>
          <w:rFonts w:ascii="Times New Roman" w:eastAsia="Times New Roman" w:hAnsi="Times New Roman" w:cs="Times New Roman"/>
          <w:i/>
          <w:sz w:val="20"/>
          <w:szCs w:val="20"/>
        </w:rPr>
        <w:t>Treated *Post-FAS 123R</w:t>
      </w:r>
      <w:r w:rsidRPr="009E44F5">
        <w:rPr>
          <w:rFonts w:ascii="Times New Roman" w:eastAsia="Times New Roman" w:hAnsi="Times New Roman" w:cs="Times New Roman"/>
          <w:sz w:val="20"/>
          <w:szCs w:val="20"/>
        </w:rPr>
        <w:t xml:space="preserve"> is the </w:t>
      </w:r>
      <w:r w:rsidR="00A41F5E">
        <w:rPr>
          <w:rFonts w:ascii="Times New Roman" w:eastAsia="Times New Roman" w:hAnsi="Times New Roman" w:cs="Times New Roman"/>
          <w:sz w:val="20"/>
          <w:szCs w:val="20"/>
        </w:rPr>
        <w:t>DID</w:t>
      </w:r>
      <w:r w:rsidRPr="009E44F5">
        <w:rPr>
          <w:rFonts w:ascii="Times New Roman" w:eastAsia="Times New Roman" w:hAnsi="Times New Roman" w:cs="Times New Roman"/>
          <w:sz w:val="20"/>
          <w:szCs w:val="20"/>
        </w:rPr>
        <w:t xml:space="preserve"> estimate. The table reports p-values in parentheses. All p-values are computed with standard errors clustered at the firm level. </w:t>
      </w:r>
      <w:r w:rsidRPr="009E44F5">
        <w:rPr>
          <w:rFonts w:ascii="Times New Roman" w:hAnsi="Times New Roman" w:cs="Times New Roman"/>
          <w:sz w:val="20"/>
          <w:szCs w:val="20"/>
        </w:rPr>
        <w:t>The notation ***, ** and * denote statistical significance at the 1%, 5% and 10% level, respectively.</w:t>
      </w:r>
      <w:r w:rsidRPr="009E44F5">
        <w:rPr>
          <w:rFonts w:ascii="Times New Roman" w:eastAsia="Times New Roman" w:hAnsi="Times New Roman" w:cs="Times New Roman"/>
          <w:sz w:val="20"/>
          <w:szCs w:val="20"/>
        </w:rPr>
        <w:t xml:space="preserve"> The variables are defined in Appendix.  </w:t>
      </w:r>
    </w:p>
    <w:tbl>
      <w:tblPr>
        <w:tblW w:w="4489" w:type="pct"/>
        <w:jc w:val="center"/>
        <w:tblInd w:w="-164" w:type="dxa"/>
        <w:tblBorders>
          <w:top w:val="single" w:sz="2" w:space="0" w:color="000000"/>
          <w:bottom w:val="single" w:sz="2" w:space="0" w:color="000000"/>
        </w:tblBorders>
        <w:tblLayout w:type="fixed"/>
        <w:tblLook w:val="0000"/>
      </w:tblPr>
      <w:tblGrid>
        <w:gridCol w:w="2351"/>
        <w:gridCol w:w="1078"/>
        <w:gridCol w:w="1083"/>
        <w:gridCol w:w="983"/>
        <w:gridCol w:w="966"/>
        <w:gridCol w:w="989"/>
        <w:gridCol w:w="91"/>
        <w:gridCol w:w="1056"/>
      </w:tblGrid>
      <w:tr w:rsidR="009E44F5" w:rsidRPr="009E44F5" w:rsidTr="00552458">
        <w:trPr>
          <w:trHeight w:val="290"/>
          <w:jc w:val="center"/>
        </w:trPr>
        <w:tc>
          <w:tcPr>
            <w:tcW w:w="1367" w:type="pct"/>
            <w:tcBorders>
              <w:top w:val="single" w:sz="2" w:space="0" w:color="000000"/>
              <w:bottom w:val="nil"/>
            </w:tcBorders>
            <w:vAlign w:val="center"/>
          </w:tcPr>
          <w:p w:rsidR="000A3F0B" w:rsidRPr="009E44F5" w:rsidRDefault="000A3F0B" w:rsidP="00910863">
            <w:pPr>
              <w:autoSpaceDE w:val="0"/>
              <w:autoSpaceDN w:val="0"/>
              <w:adjustRightInd w:val="0"/>
              <w:spacing w:after="0" w:line="240" w:lineRule="auto"/>
              <w:jc w:val="center"/>
              <w:rPr>
                <w:rFonts w:ascii="Times New Roman" w:hAnsi="Times New Roman" w:cs="Times New Roman"/>
                <w:sz w:val="20"/>
                <w:szCs w:val="20"/>
              </w:rPr>
            </w:pPr>
          </w:p>
        </w:tc>
        <w:tc>
          <w:tcPr>
            <w:tcW w:w="1829" w:type="pct"/>
            <w:gridSpan w:val="3"/>
            <w:tcBorders>
              <w:top w:val="single" w:sz="2" w:space="0" w:color="000000"/>
              <w:bottom w:val="nil"/>
            </w:tcBorders>
            <w:vAlign w:val="center"/>
          </w:tcPr>
          <w:p w:rsidR="000A3F0B" w:rsidRPr="009E44F5" w:rsidRDefault="000A3F0B"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Control Group 1</w:t>
            </w:r>
          </w:p>
        </w:tc>
        <w:tc>
          <w:tcPr>
            <w:tcW w:w="1804" w:type="pct"/>
            <w:gridSpan w:val="4"/>
            <w:tcBorders>
              <w:top w:val="single" w:sz="2" w:space="0" w:color="000000"/>
              <w:bottom w:val="nil"/>
            </w:tcBorders>
            <w:vAlign w:val="center"/>
          </w:tcPr>
          <w:p w:rsidR="000A3F0B" w:rsidRPr="009E44F5" w:rsidRDefault="000A3F0B"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Control Group 2</w:t>
            </w:r>
          </w:p>
        </w:tc>
      </w:tr>
      <w:tr w:rsidR="009E44F5" w:rsidRPr="009E44F5" w:rsidTr="00944BB1">
        <w:trPr>
          <w:trHeight w:val="290"/>
          <w:jc w:val="center"/>
        </w:trPr>
        <w:tc>
          <w:tcPr>
            <w:tcW w:w="1367" w:type="pct"/>
            <w:tcBorders>
              <w:top w:val="nil"/>
              <w:bottom w:val="single" w:sz="2" w:space="0" w:color="000000"/>
            </w:tcBorders>
            <w:vAlign w:val="center"/>
          </w:tcPr>
          <w:p w:rsidR="000A3F0B" w:rsidRPr="009E44F5" w:rsidRDefault="000A3F0B" w:rsidP="00910863">
            <w:pPr>
              <w:autoSpaceDE w:val="0"/>
              <w:autoSpaceDN w:val="0"/>
              <w:adjustRightInd w:val="0"/>
              <w:spacing w:after="0" w:line="240" w:lineRule="auto"/>
              <w:jc w:val="center"/>
              <w:rPr>
                <w:rFonts w:ascii="Times New Roman" w:hAnsi="Times New Roman" w:cs="Times New Roman"/>
                <w:sz w:val="20"/>
                <w:szCs w:val="20"/>
              </w:rPr>
            </w:pPr>
          </w:p>
        </w:tc>
        <w:tc>
          <w:tcPr>
            <w:tcW w:w="627" w:type="pct"/>
            <w:tcBorders>
              <w:top w:val="nil"/>
              <w:bottom w:val="single" w:sz="2" w:space="0" w:color="000000"/>
            </w:tcBorders>
            <w:vAlign w:val="center"/>
          </w:tcPr>
          <w:p w:rsidR="000A3F0B" w:rsidRPr="009E44F5" w:rsidRDefault="000A3F0B"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CAPEX</w:t>
            </w:r>
          </w:p>
        </w:tc>
        <w:tc>
          <w:tcPr>
            <w:tcW w:w="630" w:type="pct"/>
            <w:tcBorders>
              <w:top w:val="nil"/>
              <w:bottom w:val="single" w:sz="2" w:space="0" w:color="000000"/>
            </w:tcBorders>
            <w:vAlign w:val="center"/>
          </w:tcPr>
          <w:p w:rsidR="000A3F0B" w:rsidRPr="009E44F5" w:rsidRDefault="000A3F0B"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Leverage</w:t>
            </w:r>
          </w:p>
        </w:tc>
        <w:tc>
          <w:tcPr>
            <w:tcW w:w="572" w:type="pct"/>
            <w:tcBorders>
              <w:top w:val="nil"/>
              <w:bottom w:val="single" w:sz="2" w:space="0" w:color="000000"/>
            </w:tcBorders>
            <w:vAlign w:val="center"/>
          </w:tcPr>
          <w:p w:rsidR="000A3F0B" w:rsidRPr="009E44F5" w:rsidRDefault="000A3F0B"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Cash</w:t>
            </w:r>
          </w:p>
        </w:tc>
        <w:tc>
          <w:tcPr>
            <w:tcW w:w="562" w:type="pct"/>
            <w:tcBorders>
              <w:top w:val="nil"/>
              <w:bottom w:val="single" w:sz="2" w:space="0" w:color="000000"/>
            </w:tcBorders>
            <w:vAlign w:val="center"/>
          </w:tcPr>
          <w:p w:rsidR="000A3F0B" w:rsidRPr="009E44F5" w:rsidRDefault="000A3F0B"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CAPEX</w:t>
            </w:r>
          </w:p>
        </w:tc>
        <w:tc>
          <w:tcPr>
            <w:tcW w:w="575" w:type="pct"/>
            <w:tcBorders>
              <w:top w:val="nil"/>
              <w:bottom w:val="single" w:sz="2" w:space="0" w:color="000000"/>
            </w:tcBorders>
            <w:vAlign w:val="center"/>
          </w:tcPr>
          <w:p w:rsidR="000A3F0B" w:rsidRPr="009E44F5" w:rsidRDefault="000A3F0B"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Leverage</w:t>
            </w:r>
          </w:p>
        </w:tc>
        <w:tc>
          <w:tcPr>
            <w:tcW w:w="668" w:type="pct"/>
            <w:gridSpan w:val="2"/>
            <w:tcBorders>
              <w:top w:val="nil"/>
              <w:bottom w:val="single" w:sz="2" w:space="0" w:color="000000"/>
            </w:tcBorders>
            <w:vAlign w:val="center"/>
          </w:tcPr>
          <w:p w:rsidR="000A3F0B" w:rsidRPr="009E44F5" w:rsidRDefault="000A3F0B"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Cash</w:t>
            </w:r>
          </w:p>
        </w:tc>
      </w:tr>
      <w:tr w:rsidR="00552458" w:rsidRPr="009E44F5" w:rsidTr="00552458">
        <w:trPr>
          <w:trHeight w:val="290"/>
          <w:jc w:val="center"/>
        </w:trPr>
        <w:tc>
          <w:tcPr>
            <w:tcW w:w="1367" w:type="pct"/>
            <w:vMerge w:val="restart"/>
            <w:tcBorders>
              <w:top w:val="single" w:sz="2" w:space="0" w:color="000000"/>
            </w:tcBorders>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Post-FAS 123R</w:t>
            </w:r>
          </w:p>
        </w:tc>
        <w:tc>
          <w:tcPr>
            <w:tcW w:w="627"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0.003</w:t>
            </w:r>
          </w:p>
        </w:tc>
        <w:tc>
          <w:tcPr>
            <w:tcW w:w="630"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-0.066**</w:t>
            </w:r>
          </w:p>
        </w:tc>
        <w:tc>
          <w:tcPr>
            <w:tcW w:w="572"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-0.005</w:t>
            </w:r>
          </w:p>
        </w:tc>
        <w:tc>
          <w:tcPr>
            <w:tcW w:w="562"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0.004*</w:t>
            </w:r>
          </w:p>
        </w:tc>
        <w:tc>
          <w:tcPr>
            <w:tcW w:w="628" w:type="pct"/>
            <w:gridSpan w:val="2"/>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-0.043</w:t>
            </w:r>
          </w:p>
        </w:tc>
        <w:tc>
          <w:tcPr>
            <w:tcW w:w="614" w:type="pct"/>
            <w:tcBorders>
              <w:top w:val="single" w:sz="2" w:space="0" w:color="000000"/>
            </w:tcBorders>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0.011</w:t>
            </w: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(0.770)</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(0.019)</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(0.791)</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(0.057)</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(0.127)</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(0.555)</w:t>
            </w: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Treated</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-0.013</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0.014</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0.004</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-0.021</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-0.029</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-0.122</w:t>
            </w: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(0.106)</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(0.511)</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(0.785)</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(0.338)</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(0.231)</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(0.453)</w:t>
            </w: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Treated *Post-FAS 123R</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0.017</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0.058*</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0.019</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0.013</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0.031</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(0.134)</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(0.071)</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(0.386)</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(0.651)</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(0.338)</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(0.989)</w:t>
            </w: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Delta</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-0.00001*</w:t>
            </w: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(0.198)</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(0.488)</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(0.220)</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(0.177)</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(0.178)</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(0.081)</w:t>
            </w: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Investment Growth</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0.091</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-0.252</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0.076</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-0.260</w:t>
            </w: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(0.722)</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(0.145)</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(0.771)</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(0129)</w:t>
            </w: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Sales Growth</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0.090***</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0.083***</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(0.002)</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Size</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-0.003</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-0.021**</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-0.009</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-0.031</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-0.029***</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-0.013**</w:t>
            </w: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(0.210)</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(0.011)</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(0.113)</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(0.174)</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(0.003)</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(0.049)</w:t>
            </w: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Leverage</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0.102</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-0.034*</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0.137</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-0.014</w:t>
            </w: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(0.764)</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(0.078)</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(0.719)</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(0.817)</w:t>
            </w: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ROA</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0.051</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-0.159</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-0.220</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0.043</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-0.180</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-0.229</w:t>
            </w: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(0.329)</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(0.266)</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(0.210)</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(0.410)</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(0.223)</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(0.018)</w:t>
            </w: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Altman-Z</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-0.068***</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0.035***</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-0.001</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-0.067***</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0.037***</w:t>
            </w: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(0.873)</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(0.908)</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Cash</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-0.021*</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-0.074</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-0.022</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-0.032</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(0.075)</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(0.591)</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(0.651)</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(0.817)</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Dividend</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-0.004*</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0.007</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-0.017</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-0.002*</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0.010</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-0.016</w:t>
            </w: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(0.064)</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(0.665)</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(0.130)</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(0.084)</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(0.549)</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(0.162)</w:t>
            </w:r>
          </w:p>
        </w:tc>
      </w:tr>
      <w:tr w:rsidR="00552458" w:rsidRPr="009E44F5" w:rsidTr="00552458">
        <w:trPr>
          <w:trHeight w:val="290"/>
          <w:jc w:val="center"/>
        </w:trPr>
        <w:tc>
          <w:tcPr>
            <w:tcW w:w="1367" w:type="pct"/>
            <w:vMerge w:val="restart"/>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Constant</w:t>
            </w: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0.044</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0.553***</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0.109*</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0.036</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0.641***</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0.142**</w:t>
            </w:r>
          </w:p>
        </w:tc>
      </w:tr>
      <w:tr w:rsidR="00552458" w:rsidRPr="009E44F5" w:rsidTr="00552458">
        <w:trPr>
          <w:trHeight w:val="290"/>
          <w:jc w:val="center"/>
        </w:trPr>
        <w:tc>
          <w:tcPr>
            <w:tcW w:w="1367" w:type="pct"/>
            <w:vMerge/>
            <w:vAlign w:val="center"/>
          </w:tcPr>
          <w:p w:rsidR="00552458" w:rsidRPr="009E44F5" w:rsidRDefault="00552458" w:rsidP="00944BB1">
            <w:pPr>
              <w:autoSpaceDE w:val="0"/>
              <w:autoSpaceDN w:val="0"/>
              <w:adjustRightInd w:val="0"/>
              <w:spacing w:after="0" w:line="240" w:lineRule="auto"/>
              <w:rPr>
                <w:rFonts w:ascii="Times New Roman" w:hAnsi="Times New Roman" w:cs="Times New Roman"/>
                <w:sz w:val="20"/>
                <w:szCs w:val="20"/>
              </w:rPr>
            </w:pPr>
          </w:p>
        </w:tc>
        <w:tc>
          <w:tcPr>
            <w:tcW w:w="627"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(0.184)</w:t>
            </w:r>
          </w:p>
        </w:tc>
        <w:tc>
          <w:tcPr>
            <w:tcW w:w="630"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57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(0.078)</w:t>
            </w:r>
          </w:p>
        </w:tc>
        <w:tc>
          <w:tcPr>
            <w:tcW w:w="562"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(0.254)</w:t>
            </w:r>
          </w:p>
        </w:tc>
        <w:tc>
          <w:tcPr>
            <w:tcW w:w="628" w:type="pct"/>
            <w:gridSpan w:val="2"/>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(0.000)</w:t>
            </w:r>
          </w:p>
        </w:tc>
        <w:tc>
          <w:tcPr>
            <w:tcW w:w="614" w:type="pct"/>
            <w:vAlign w:val="center"/>
          </w:tcPr>
          <w:p w:rsidR="00552458" w:rsidRPr="009E44F5" w:rsidRDefault="00552458"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(0.046)</w:t>
            </w:r>
          </w:p>
        </w:tc>
      </w:tr>
      <w:tr w:rsidR="009E44F5" w:rsidRPr="009E44F5" w:rsidTr="00552458">
        <w:trPr>
          <w:trHeight w:val="290"/>
          <w:jc w:val="center"/>
        </w:trPr>
        <w:tc>
          <w:tcPr>
            <w:tcW w:w="1367" w:type="pct"/>
            <w:vAlign w:val="center"/>
          </w:tcPr>
          <w:p w:rsidR="00CC7D42" w:rsidRPr="009E44F5" w:rsidRDefault="00CC7D42"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Adj-R</w:t>
            </w:r>
            <w:r w:rsidRPr="00944BB1">
              <w:rPr>
                <w:rFonts w:ascii="Times New Roman" w:hAnsi="Times New Roman" w:cs="Times New Roman"/>
                <w:sz w:val="20"/>
                <w:szCs w:val="20"/>
                <w:vertAlign w:val="superscript"/>
              </w:rPr>
              <w:t>2</w:t>
            </w:r>
          </w:p>
        </w:tc>
        <w:tc>
          <w:tcPr>
            <w:tcW w:w="627" w:type="pct"/>
            <w:vAlign w:val="center"/>
          </w:tcPr>
          <w:p w:rsidR="00CC7D42" w:rsidRPr="009E44F5" w:rsidRDefault="00CC7D42"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0.39</w:t>
            </w:r>
          </w:p>
        </w:tc>
        <w:tc>
          <w:tcPr>
            <w:tcW w:w="630" w:type="pct"/>
            <w:vAlign w:val="center"/>
          </w:tcPr>
          <w:p w:rsidR="00CC7D42" w:rsidRPr="009E44F5" w:rsidRDefault="00CC7D42"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0.57</w:t>
            </w:r>
          </w:p>
        </w:tc>
        <w:tc>
          <w:tcPr>
            <w:tcW w:w="572" w:type="pct"/>
            <w:vAlign w:val="center"/>
          </w:tcPr>
          <w:p w:rsidR="00CC7D42" w:rsidRPr="009E44F5" w:rsidRDefault="00CC7D42"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0.47</w:t>
            </w:r>
          </w:p>
        </w:tc>
        <w:tc>
          <w:tcPr>
            <w:tcW w:w="562" w:type="pct"/>
            <w:vAlign w:val="center"/>
          </w:tcPr>
          <w:p w:rsidR="00CC7D42" w:rsidRPr="009E44F5" w:rsidRDefault="0084447A"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0.40</w:t>
            </w:r>
          </w:p>
        </w:tc>
        <w:tc>
          <w:tcPr>
            <w:tcW w:w="628" w:type="pct"/>
            <w:gridSpan w:val="2"/>
            <w:vAlign w:val="center"/>
          </w:tcPr>
          <w:p w:rsidR="00CC7D42" w:rsidRPr="009E44F5" w:rsidRDefault="00BB4EE2"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0.54</w:t>
            </w:r>
          </w:p>
        </w:tc>
        <w:tc>
          <w:tcPr>
            <w:tcW w:w="614" w:type="pct"/>
            <w:vAlign w:val="center"/>
          </w:tcPr>
          <w:p w:rsidR="00CC7D42" w:rsidRPr="009E44F5" w:rsidRDefault="00CC7D42"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0.48</w:t>
            </w:r>
          </w:p>
        </w:tc>
      </w:tr>
      <w:tr w:rsidR="009E44F5" w:rsidRPr="009E44F5" w:rsidTr="00552458">
        <w:trPr>
          <w:trHeight w:val="290"/>
          <w:jc w:val="center"/>
        </w:trPr>
        <w:tc>
          <w:tcPr>
            <w:tcW w:w="1367" w:type="pct"/>
            <w:vAlign w:val="center"/>
          </w:tcPr>
          <w:p w:rsidR="00CC7D42" w:rsidRPr="009E44F5" w:rsidRDefault="00CC7D42" w:rsidP="00944BB1">
            <w:pPr>
              <w:autoSpaceDE w:val="0"/>
              <w:autoSpaceDN w:val="0"/>
              <w:adjustRightInd w:val="0"/>
              <w:spacing w:after="0" w:line="240" w:lineRule="auto"/>
              <w:rPr>
                <w:rFonts w:ascii="Times New Roman" w:hAnsi="Times New Roman" w:cs="Times New Roman"/>
                <w:sz w:val="20"/>
                <w:szCs w:val="20"/>
              </w:rPr>
            </w:pPr>
            <w:r w:rsidRPr="009E44F5">
              <w:rPr>
                <w:rFonts w:ascii="Times New Roman" w:hAnsi="Times New Roman" w:cs="Times New Roman"/>
                <w:sz w:val="20"/>
                <w:szCs w:val="20"/>
              </w:rPr>
              <w:t>N</w:t>
            </w:r>
          </w:p>
        </w:tc>
        <w:tc>
          <w:tcPr>
            <w:tcW w:w="627" w:type="pct"/>
            <w:vAlign w:val="center"/>
          </w:tcPr>
          <w:p w:rsidR="00CC7D42" w:rsidRPr="009E44F5" w:rsidRDefault="00CC7D42"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630" w:type="pct"/>
            <w:vAlign w:val="center"/>
          </w:tcPr>
          <w:p w:rsidR="00CC7D42" w:rsidRPr="009E44F5" w:rsidRDefault="00CC7D42"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572" w:type="pct"/>
            <w:vAlign w:val="center"/>
          </w:tcPr>
          <w:p w:rsidR="00CC7D42" w:rsidRPr="009E44F5" w:rsidRDefault="00CC7D42"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562" w:type="pct"/>
            <w:vAlign w:val="center"/>
          </w:tcPr>
          <w:p w:rsidR="00CC7D42" w:rsidRPr="009E44F5" w:rsidRDefault="00CC7D42"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628" w:type="pct"/>
            <w:gridSpan w:val="2"/>
            <w:vAlign w:val="center"/>
          </w:tcPr>
          <w:p w:rsidR="00CC7D42" w:rsidRPr="009E44F5" w:rsidRDefault="00BB4EE2"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c>
          <w:tcPr>
            <w:tcW w:w="614" w:type="pct"/>
            <w:vAlign w:val="center"/>
          </w:tcPr>
          <w:p w:rsidR="00CC7D42" w:rsidRPr="009E44F5" w:rsidRDefault="00CC7D42" w:rsidP="00910863">
            <w:pPr>
              <w:autoSpaceDE w:val="0"/>
              <w:autoSpaceDN w:val="0"/>
              <w:adjustRightInd w:val="0"/>
              <w:spacing w:after="0" w:line="240" w:lineRule="auto"/>
              <w:jc w:val="center"/>
              <w:rPr>
                <w:rFonts w:ascii="Times New Roman" w:hAnsi="Times New Roman" w:cs="Times New Roman"/>
                <w:sz w:val="20"/>
                <w:szCs w:val="20"/>
              </w:rPr>
            </w:pPr>
            <w:r w:rsidRPr="009E44F5">
              <w:rPr>
                <w:rFonts w:ascii="Times New Roman" w:hAnsi="Times New Roman" w:cs="Times New Roman"/>
                <w:sz w:val="20"/>
                <w:szCs w:val="20"/>
              </w:rPr>
              <w:t>154</w:t>
            </w:r>
          </w:p>
        </w:tc>
      </w:tr>
    </w:tbl>
    <w:p w:rsidR="000A3F0B" w:rsidRDefault="000A3F0B" w:rsidP="000A3F0B">
      <w:pPr>
        <w:rPr>
          <w:rFonts w:ascii="Times New Roman" w:eastAsia="Times New Roman" w:hAnsi="Times New Roman" w:cs="Times New Roman"/>
          <w:b/>
          <w:sz w:val="24"/>
          <w:szCs w:val="24"/>
        </w:rPr>
      </w:pPr>
    </w:p>
    <w:sectPr w:rsidR="000A3F0B" w:rsidSect="00D673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2BD" w:rsidRDefault="00F722BD" w:rsidP="007A13C0">
      <w:pPr>
        <w:spacing w:after="0" w:line="240" w:lineRule="auto"/>
      </w:pPr>
      <w:r>
        <w:separator/>
      </w:r>
    </w:p>
  </w:endnote>
  <w:endnote w:type="continuationSeparator" w:id="0">
    <w:p w:rsidR="00F722BD" w:rsidRDefault="00F722BD" w:rsidP="007A1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NewBaskerville-Italic">
    <w:panose1 w:val="00000000000000000000"/>
    <w:charset w:val="00"/>
    <w:family w:val="roman"/>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75205065"/>
      <w:docPartObj>
        <w:docPartGallery w:val="Page Numbers (Bottom of Page)"/>
        <w:docPartUnique/>
      </w:docPartObj>
    </w:sdtPr>
    <w:sdtEndPr>
      <w:rPr>
        <w:noProof/>
      </w:rPr>
    </w:sdtEndPr>
    <w:sdtContent>
      <w:p w:rsidR="00634EF3" w:rsidRPr="00034653" w:rsidRDefault="005D5B8E">
        <w:pPr>
          <w:pStyle w:val="Footer"/>
          <w:jc w:val="center"/>
          <w:rPr>
            <w:rFonts w:ascii="Times New Roman" w:hAnsi="Times New Roman" w:cs="Times New Roman"/>
          </w:rPr>
        </w:pPr>
        <w:r w:rsidRPr="00034653">
          <w:rPr>
            <w:rFonts w:ascii="Times New Roman" w:hAnsi="Times New Roman" w:cs="Times New Roman"/>
          </w:rPr>
          <w:fldChar w:fldCharType="begin"/>
        </w:r>
        <w:r w:rsidR="00634EF3" w:rsidRPr="00034653">
          <w:rPr>
            <w:rFonts w:ascii="Times New Roman" w:hAnsi="Times New Roman" w:cs="Times New Roman"/>
          </w:rPr>
          <w:instrText xml:space="preserve"> PAGE   \* MERGEFORMAT </w:instrText>
        </w:r>
        <w:r w:rsidRPr="00034653">
          <w:rPr>
            <w:rFonts w:ascii="Times New Roman" w:hAnsi="Times New Roman" w:cs="Times New Roman"/>
          </w:rPr>
          <w:fldChar w:fldCharType="separate"/>
        </w:r>
        <w:r w:rsidR="00AD0422">
          <w:rPr>
            <w:rFonts w:ascii="Times New Roman" w:hAnsi="Times New Roman" w:cs="Times New Roman"/>
            <w:noProof/>
          </w:rPr>
          <w:t>43</w:t>
        </w:r>
        <w:r w:rsidRPr="00034653">
          <w:rPr>
            <w:rFonts w:ascii="Times New Roman" w:hAnsi="Times New Roman" w:cs="Times New Roman"/>
            <w:noProof/>
          </w:rPr>
          <w:fldChar w:fldCharType="end"/>
        </w:r>
      </w:p>
    </w:sdtContent>
  </w:sdt>
  <w:p w:rsidR="00634EF3" w:rsidRPr="00034653" w:rsidRDefault="00634EF3">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EF3" w:rsidRDefault="00634EF3" w:rsidP="009D0387">
    <w:pPr>
      <w:pStyle w:val="Footer"/>
      <w:jc w:val="center"/>
    </w:pPr>
  </w:p>
  <w:p w:rsidR="00634EF3" w:rsidRDefault="00634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2BD" w:rsidRDefault="00F722BD" w:rsidP="007A13C0">
      <w:pPr>
        <w:spacing w:after="0" w:line="240" w:lineRule="auto"/>
      </w:pPr>
      <w:r>
        <w:separator/>
      </w:r>
    </w:p>
  </w:footnote>
  <w:footnote w:type="continuationSeparator" w:id="0">
    <w:p w:rsidR="00F722BD" w:rsidRDefault="00F722BD" w:rsidP="007A13C0">
      <w:pPr>
        <w:spacing w:after="0" w:line="240" w:lineRule="auto"/>
      </w:pPr>
      <w:r>
        <w:continuationSeparator/>
      </w:r>
    </w:p>
  </w:footnote>
  <w:footnote w:id="1">
    <w:p w:rsidR="00634EF3" w:rsidRPr="00052812" w:rsidRDefault="00634EF3" w:rsidP="00052812">
      <w:pPr>
        <w:pStyle w:val="FootnoteText"/>
        <w:jc w:val="both"/>
        <w:rPr>
          <w:rFonts w:ascii="Times New Roman" w:hAnsi="Times New Roman" w:cs="Times New Roman"/>
        </w:rPr>
      </w:pPr>
      <w:r w:rsidRPr="00052812">
        <w:rPr>
          <w:rStyle w:val="FootnoteReference"/>
          <w:rFonts w:ascii="Times New Roman" w:hAnsi="Times New Roman" w:cs="Times New Roman"/>
          <w:sz w:val="24"/>
          <w:szCs w:val="24"/>
        </w:rPr>
        <w:sym w:font="Symbol" w:char="F02A"/>
      </w:r>
      <w:r>
        <w:rPr>
          <w:rFonts w:ascii="Times New Roman" w:hAnsi="Times New Roman" w:cs="Times New Roman"/>
        </w:rPr>
        <w:t xml:space="preserve"> </w:t>
      </w:r>
      <w:r w:rsidRPr="00052812">
        <w:rPr>
          <w:rFonts w:ascii="Times New Roman" w:hAnsi="Times New Roman" w:cs="Times New Roman"/>
        </w:rPr>
        <w:t xml:space="preserve">We </w:t>
      </w:r>
      <w:r>
        <w:rPr>
          <w:rFonts w:ascii="Times New Roman" w:hAnsi="Times New Roman" w:cs="Times New Roman"/>
        </w:rPr>
        <w:t xml:space="preserve">have benefited from a valuable conversation with Jeff Coles. We </w:t>
      </w:r>
      <w:r w:rsidRPr="00052812">
        <w:rPr>
          <w:rFonts w:ascii="Times New Roman" w:hAnsi="Times New Roman" w:cs="Times New Roman"/>
        </w:rPr>
        <w:t>thank</w:t>
      </w:r>
      <w:r>
        <w:rPr>
          <w:rFonts w:ascii="Times New Roman" w:hAnsi="Times New Roman" w:cs="Times New Roman"/>
        </w:rPr>
        <w:t xml:space="preserve"> </w:t>
      </w:r>
      <w:r w:rsidRPr="007A33D4">
        <w:rPr>
          <w:rFonts w:ascii="Times New Roman" w:hAnsi="Times New Roman" w:cs="Times New Roman"/>
        </w:rPr>
        <w:t>Alex Dawotola</w:t>
      </w:r>
      <w:r>
        <w:rPr>
          <w:rFonts w:ascii="Times New Roman" w:hAnsi="Times New Roman" w:cs="Times New Roman"/>
        </w:rPr>
        <w:t xml:space="preserve">, Seth </w:t>
      </w:r>
      <w:r w:rsidRPr="00077493">
        <w:rPr>
          <w:rFonts w:ascii="Times New Roman" w:hAnsi="Times New Roman" w:cs="Times New Roman"/>
        </w:rPr>
        <w:t xml:space="preserve">Hoelscher, Jonathan Krummel, </w:t>
      </w:r>
      <w:r>
        <w:rPr>
          <w:rFonts w:ascii="Times New Roman" w:hAnsi="Times New Roman" w:cs="Times New Roman"/>
        </w:rPr>
        <w:t xml:space="preserve">and </w:t>
      </w:r>
      <w:r w:rsidRPr="00077493">
        <w:rPr>
          <w:rFonts w:ascii="Times New Roman" w:hAnsi="Times New Roman" w:cs="Times New Roman"/>
          <w:shd w:val="clear" w:color="auto" w:fill="FFFFFF"/>
        </w:rPr>
        <w:t>Tim Lueking</w:t>
      </w:r>
      <w:r>
        <w:rPr>
          <w:rFonts w:ascii="Calibri" w:hAnsi="Calibri" w:cs="Calibri"/>
          <w:color w:val="1F497D"/>
          <w:sz w:val="22"/>
          <w:szCs w:val="22"/>
          <w:shd w:val="clear" w:color="auto" w:fill="FFFFFF"/>
        </w:rPr>
        <w:t xml:space="preserve"> </w:t>
      </w:r>
      <w:r>
        <w:rPr>
          <w:rFonts w:ascii="Times New Roman" w:hAnsi="Times New Roman" w:cs="Times New Roman"/>
        </w:rPr>
        <w:t xml:space="preserve">for help with data collection. </w:t>
      </w:r>
      <w:r w:rsidRPr="00052812">
        <w:rPr>
          <w:rFonts w:ascii="Times New Roman" w:hAnsi="Times New Roman" w:cs="Times New Roman"/>
        </w:rPr>
        <w:t>We a</w:t>
      </w:r>
      <w:r>
        <w:rPr>
          <w:rFonts w:ascii="Times New Roman" w:hAnsi="Times New Roman" w:cs="Times New Roman"/>
        </w:rPr>
        <w:t>re responsible for all</w:t>
      </w:r>
      <w:r w:rsidRPr="00052812">
        <w:rPr>
          <w:rFonts w:ascii="Times New Roman" w:hAnsi="Times New Roman" w:cs="Times New Roman"/>
        </w:rPr>
        <w:t xml:space="preserve"> errors.</w:t>
      </w:r>
    </w:p>
  </w:footnote>
  <w:footnote w:id="2">
    <w:p w:rsidR="00634EF3" w:rsidRPr="00367626" w:rsidRDefault="00634EF3" w:rsidP="00B95AFB">
      <w:pPr>
        <w:autoSpaceDE w:val="0"/>
        <w:autoSpaceDN w:val="0"/>
        <w:adjustRightInd w:val="0"/>
        <w:spacing w:after="60" w:line="240" w:lineRule="auto"/>
        <w:jc w:val="both"/>
        <w:rPr>
          <w:rFonts w:ascii="Times New Roman" w:hAnsi="Times New Roman" w:cs="Times New Roman"/>
          <w:sz w:val="20"/>
          <w:szCs w:val="20"/>
        </w:rPr>
      </w:pPr>
      <w:r w:rsidRPr="005F0811">
        <w:rPr>
          <w:rStyle w:val="FootnoteReference"/>
          <w:rFonts w:ascii="Times New Roman" w:hAnsi="Times New Roman" w:cs="Times New Roman"/>
          <w:sz w:val="20"/>
          <w:szCs w:val="20"/>
        </w:rPr>
        <w:footnoteRef/>
      </w:r>
      <w:r w:rsidRPr="005F0811">
        <w:rPr>
          <w:rFonts w:ascii="Times New Roman" w:hAnsi="Times New Roman" w:cs="Times New Roman"/>
          <w:sz w:val="20"/>
          <w:szCs w:val="20"/>
        </w:rPr>
        <w:t xml:space="preserve"> Our sample includes </w:t>
      </w:r>
      <w:r>
        <w:rPr>
          <w:rFonts w:ascii="Times New Roman" w:hAnsi="Times New Roman" w:cs="Times New Roman"/>
          <w:sz w:val="20"/>
          <w:szCs w:val="20"/>
        </w:rPr>
        <w:t>fi</w:t>
      </w:r>
      <w:r w:rsidRPr="005F0811">
        <w:rPr>
          <w:rFonts w:ascii="Times New Roman" w:hAnsi="Times New Roman" w:cs="Times New Roman"/>
          <w:sz w:val="20"/>
          <w:szCs w:val="20"/>
        </w:rPr>
        <w:t xml:space="preserve">rms in the oil and gas industry with SIC code of 1311 in </w:t>
      </w:r>
      <w:proofErr w:type="spellStart"/>
      <w:r w:rsidRPr="005F0811">
        <w:rPr>
          <w:rFonts w:ascii="Times New Roman" w:hAnsi="Times New Roman" w:cs="Times New Roman"/>
          <w:sz w:val="20"/>
          <w:szCs w:val="20"/>
        </w:rPr>
        <w:t>Compustat</w:t>
      </w:r>
      <w:proofErr w:type="spellEnd"/>
      <w:r w:rsidRPr="005F0811">
        <w:rPr>
          <w:rFonts w:ascii="Times New Roman" w:hAnsi="Times New Roman" w:cs="Times New Roman"/>
          <w:sz w:val="20"/>
          <w:szCs w:val="20"/>
        </w:rPr>
        <w:t>.</w:t>
      </w:r>
    </w:p>
  </w:footnote>
  <w:footnote w:id="3">
    <w:p w:rsidR="00634EF3" w:rsidRPr="00156BE5" w:rsidRDefault="00634EF3" w:rsidP="00704880">
      <w:pPr>
        <w:autoSpaceDE w:val="0"/>
        <w:autoSpaceDN w:val="0"/>
        <w:adjustRightInd w:val="0"/>
        <w:spacing w:after="0" w:line="240" w:lineRule="auto"/>
        <w:jc w:val="both"/>
        <w:rPr>
          <w:rFonts w:ascii="Times New Roman" w:eastAsia="Times New Roman" w:hAnsi="Times New Roman" w:cs="Times New Roman"/>
          <w:sz w:val="20"/>
          <w:szCs w:val="20"/>
        </w:rPr>
      </w:pPr>
      <w:r w:rsidRPr="00565C31">
        <w:rPr>
          <w:rStyle w:val="FootnoteReference"/>
          <w:rFonts w:ascii="Times New Roman" w:hAnsi="Times New Roman" w:cs="Times New Roman"/>
        </w:rPr>
        <w:footnoteRef/>
      </w:r>
      <w:r w:rsidRPr="00565C31">
        <w:rPr>
          <w:rFonts w:ascii="Times New Roman" w:hAnsi="Times New Roman" w:cs="Times New Roman"/>
          <w:sz w:val="20"/>
          <w:szCs w:val="20"/>
        </w:rPr>
        <w:t xml:space="preserve"> It is important to note that w</w:t>
      </w:r>
      <w:r w:rsidRPr="0037608D">
        <w:rPr>
          <w:rFonts w:ascii="Times New Roman" w:hAnsi="Times New Roman" w:cs="Times New Roman"/>
          <w:sz w:val="20"/>
          <w:szCs w:val="20"/>
        </w:rPr>
        <w:t xml:space="preserve">hile we focus on CEO </w:t>
      </w:r>
      <w:proofErr w:type="spellStart"/>
      <w:proofErr w:type="gramStart"/>
      <w:r w:rsidRPr="0037608D">
        <w:rPr>
          <w:rFonts w:ascii="Times New Roman" w:hAnsi="Times New Roman" w:cs="Times New Roman"/>
          <w:sz w:val="20"/>
          <w:szCs w:val="20"/>
        </w:rPr>
        <w:t>vega</w:t>
      </w:r>
      <w:proofErr w:type="spellEnd"/>
      <w:proofErr w:type="gramEnd"/>
      <w:r w:rsidRPr="0037608D">
        <w:rPr>
          <w:rFonts w:ascii="Times New Roman" w:hAnsi="Times New Roman" w:cs="Times New Roman"/>
          <w:sz w:val="20"/>
          <w:szCs w:val="20"/>
        </w:rPr>
        <w:t xml:space="preserve"> in our reported results, in unreported work we verify that </w:t>
      </w:r>
      <w:r w:rsidRPr="009A5B23">
        <w:rPr>
          <w:rFonts w:ascii="Times New Roman" w:hAnsi="Times New Roman" w:cs="Times New Roman"/>
          <w:sz w:val="20"/>
          <w:szCs w:val="20"/>
        </w:rPr>
        <w:t xml:space="preserve">FAS 123R had a similar effect on other executives’ compensation packages including CFOs. Therefore, our results capture the effect of changes not only in CEO </w:t>
      </w:r>
      <w:proofErr w:type="spellStart"/>
      <w:proofErr w:type="gramStart"/>
      <w:r w:rsidRPr="009A5B23">
        <w:rPr>
          <w:rFonts w:ascii="Times New Roman" w:hAnsi="Times New Roman" w:cs="Times New Roman"/>
          <w:sz w:val="20"/>
          <w:szCs w:val="20"/>
        </w:rPr>
        <w:t>vega</w:t>
      </w:r>
      <w:proofErr w:type="spellEnd"/>
      <w:proofErr w:type="gramEnd"/>
      <w:r w:rsidRPr="009A5B23">
        <w:rPr>
          <w:rFonts w:ascii="Times New Roman" w:hAnsi="Times New Roman" w:cs="Times New Roman"/>
          <w:sz w:val="20"/>
          <w:szCs w:val="20"/>
        </w:rPr>
        <w:t xml:space="preserve"> but also in other executives’ </w:t>
      </w:r>
      <w:proofErr w:type="spellStart"/>
      <w:r w:rsidRPr="009A5B23">
        <w:rPr>
          <w:rFonts w:ascii="Times New Roman" w:hAnsi="Times New Roman" w:cs="Times New Roman"/>
          <w:sz w:val="20"/>
          <w:szCs w:val="20"/>
        </w:rPr>
        <w:t>vega</w:t>
      </w:r>
      <w:proofErr w:type="spellEnd"/>
      <w:r w:rsidRPr="009A5B23">
        <w:rPr>
          <w:rFonts w:ascii="Times New Roman" w:hAnsi="Times New Roman" w:cs="Times New Roman"/>
          <w:sz w:val="20"/>
          <w:szCs w:val="20"/>
        </w:rPr>
        <w:t xml:space="preserve"> on firm hedging activities.</w:t>
      </w:r>
      <w:r>
        <w:rPr>
          <w:rFonts w:ascii="Times New Roman" w:eastAsia="Times New Roman" w:hAnsi="Times New Roman" w:cs="Times New Roman"/>
          <w:sz w:val="20"/>
          <w:szCs w:val="20"/>
        </w:rPr>
        <w:t xml:space="preserve"> </w:t>
      </w:r>
    </w:p>
  </w:footnote>
  <w:footnote w:id="4">
    <w:p w:rsidR="005C4219" w:rsidRPr="005C4219" w:rsidRDefault="005C4219" w:rsidP="00BF416F">
      <w:pPr>
        <w:pStyle w:val="FootnoteText"/>
        <w:jc w:val="both"/>
        <w:rPr>
          <w:rFonts w:ascii="Times New Roman" w:hAnsi="Times New Roman" w:cs="Times New Roman"/>
        </w:rPr>
      </w:pPr>
      <w:r w:rsidRPr="005C4219">
        <w:rPr>
          <w:rStyle w:val="FootnoteReference"/>
          <w:rFonts w:ascii="Times New Roman" w:hAnsi="Times New Roman" w:cs="Times New Roman"/>
        </w:rPr>
        <w:footnoteRef/>
      </w:r>
      <w:r w:rsidRPr="005C4219">
        <w:rPr>
          <w:rFonts w:ascii="Times New Roman" w:hAnsi="Times New Roman" w:cs="Times New Roman"/>
        </w:rPr>
        <w:t xml:space="preserve"> </w:t>
      </w:r>
      <w:r>
        <w:rPr>
          <w:rFonts w:ascii="Times New Roman" w:hAnsi="Times New Roman" w:cs="Times New Roman"/>
        </w:rPr>
        <w:t xml:space="preserve">We screen our sample to check the possibility raised by Bettis et al. (2010) </w:t>
      </w:r>
      <w:r w:rsidR="00BF416F">
        <w:rPr>
          <w:rFonts w:ascii="Times New Roman" w:hAnsi="Times New Roman" w:cs="Times New Roman"/>
        </w:rPr>
        <w:t xml:space="preserve">that some firms may have offset a post-FAS 123R reduction in option compensation with performance-vesting stock grants that </w:t>
      </w:r>
      <w:r w:rsidR="002655C2">
        <w:rPr>
          <w:rFonts w:ascii="Times New Roman" w:hAnsi="Times New Roman" w:cs="Times New Roman"/>
        </w:rPr>
        <w:t>re-</w:t>
      </w:r>
      <w:r w:rsidR="00BF416F">
        <w:rPr>
          <w:rFonts w:ascii="Times New Roman" w:hAnsi="Times New Roman" w:cs="Times New Roman"/>
        </w:rPr>
        <w:t>introduce convexity. The presence of performance-vesting compensation provisions in our sample is minimal</w:t>
      </w:r>
      <w:r w:rsidR="002655C2">
        <w:rPr>
          <w:rFonts w:ascii="Times New Roman" w:hAnsi="Times New Roman" w:cs="Times New Roman"/>
        </w:rPr>
        <w:t>. Additionally, such provisions are</w:t>
      </w:r>
      <w:r w:rsidR="00BF416F">
        <w:rPr>
          <w:rFonts w:ascii="Times New Roman" w:hAnsi="Times New Roman" w:cs="Times New Roman"/>
        </w:rPr>
        <w:t xml:space="preserve"> </w:t>
      </w:r>
      <w:r w:rsidR="002655C2">
        <w:rPr>
          <w:rFonts w:ascii="Times New Roman" w:hAnsi="Times New Roman" w:cs="Times New Roman"/>
        </w:rPr>
        <w:t xml:space="preserve">confined </w:t>
      </w:r>
      <w:r w:rsidR="00BF416F">
        <w:rPr>
          <w:rFonts w:ascii="Times New Roman" w:hAnsi="Times New Roman" w:cs="Times New Roman"/>
        </w:rPr>
        <w:t xml:space="preserve">only </w:t>
      </w:r>
      <w:r w:rsidR="002655C2">
        <w:rPr>
          <w:rFonts w:ascii="Times New Roman" w:hAnsi="Times New Roman" w:cs="Times New Roman"/>
        </w:rPr>
        <w:t xml:space="preserve">to </w:t>
      </w:r>
      <w:r w:rsidR="00BF416F">
        <w:rPr>
          <w:rFonts w:ascii="Times New Roman" w:hAnsi="Times New Roman" w:cs="Times New Roman"/>
        </w:rPr>
        <w:t>a few of our treated firms, which should bias against finding our results. Nonetheless, we verify that our results persist when these firms are removed from the sample.</w:t>
      </w:r>
    </w:p>
  </w:footnote>
  <w:footnote w:id="5">
    <w:p w:rsidR="00634EF3" w:rsidRPr="009E44F5" w:rsidRDefault="00634EF3" w:rsidP="00803959">
      <w:pPr>
        <w:pStyle w:val="FootnoteText"/>
        <w:jc w:val="both"/>
        <w:rPr>
          <w:rFonts w:ascii="Times New Roman" w:hAnsi="Times New Roman" w:cs="Times New Roman"/>
        </w:rPr>
      </w:pPr>
      <w:r w:rsidRPr="009E44F5">
        <w:rPr>
          <w:rStyle w:val="FootnoteReference"/>
          <w:rFonts w:ascii="Times New Roman" w:hAnsi="Times New Roman" w:cs="Times New Roman"/>
        </w:rPr>
        <w:footnoteRef/>
      </w:r>
      <w:r w:rsidRPr="009E44F5">
        <w:rPr>
          <w:rFonts w:ascii="Times New Roman" w:hAnsi="Times New Roman" w:cs="Times New Roman"/>
        </w:rPr>
        <w:t xml:space="preserve"> </w:t>
      </w:r>
      <w:r>
        <w:rPr>
          <w:rFonts w:ascii="Times New Roman" w:hAnsi="Times New Roman" w:cs="Times New Roman"/>
        </w:rPr>
        <w:t>Gorm</w:t>
      </w:r>
      <w:r w:rsidRPr="0085548A">
        <w:rPr>
          <w:rFonts w:ascii="Times New Roman" w:hAnsi="Times New Roman" w:cs="Times New Roman"/>
        </w:rPr>
        <w:t xml:space="preserve">ley, </w:t>
      </w:r>
      <w:proofErr w:type="spellStart"/>
      <w:r w:rsidRPr="0085548A">
        <w:rPr>
          <w:rFonts w:ascii="Times New Roman" w:hAnsi="Times New Roman" w:cs="Times New Roman"/>
        </w:rPr>
        <w:t>Matsa</w:t>
      </w:r>
      <w:proofErr w:type="spellEnd"/>
      <w:r w:rsidRPr="0085548A">
        <w:rPr>
          <w:rFonts w:ascii="Times New Roman" w:hAnsi="Times New Roman" w:cs="Times New Roman"/>
        </w:rPr>
        <w:t xml:space="preserve"> and </w:t>
      </w:r>
      <w:proofErr w:type="spellStart"/>
      <w:r w:rsidRPr="0085548A">
        <w:rPr>
          <w:rFonts w:ascii="Times New Roman" w:hAnsi="Times New Roman" w:cs="Times New Roman"/>
        </w:rPr>
        <w:t>Milbourn</w:t>
      </w:r>
      <w:proofErr w:type="spellEnd"/>
      <w:r w:rsidRPr="0085548A">
        <w:rPr>
          <w:rFonts w:ascii="Times New Roman" w:hAnsi="Times New Roman" w:cs="Times New Roman"/>
        </w:rPr>
        <w:t xml:space="preserve"> (2012) </w:t>
      </w:r>
      <w:r>
        <w:rPr>
          <w:rFonts w:ascii="Times New Roman" w:hAnsi="Times New Roman" w:cs="Times New Roman"/>
        </w:rPr>
        <w:t xml:space="preserve">also </w:t>
      </w:r>
      <w:r w:rsidRPr="0085548A">
        <w:rPr>
          <w:rFonts w:ascii="Times New Roman" w:hAnsi="Times New Roman" w:cs="Times New Roman"/>
        </w:rPr>
        <w:t>study managerial compensation and corporate risk-taking</w:t>
      </w:r>
      <w:r>
        <w:rPr>
          <w:rFonts w:ascii="Times New Roman" w:hAnsi="Times New Roman" w:cs="Times New Roman"/>
        </w:rPr>
        <w:t xml:space="preserve"> but argue against using FAS 123R as a natural experiment since some firms voluntarily expensed stock options well in advance of FAS 123R, whereas we exploit this specific feature of our sample to create one of our control groups in our DID estimation. Using an alternate natural experiment -- </w:t>
      </w:r>
      <w:r w:rsidRPr="008B1314">
        <w:rPr>
          <w:rFonts w:ascii="Times New Roman" w:hAnsi="Times New Roman" w:cs="Times New Roman"/>
        </w:rPr>
        <w:t>the exogenous increase in business risk due to exposure to carcinogens</w:t>
      </w:r>
      <w:r>
        <w:rPr>
          <w:rFonts w:ascii="Times New Roman" w:hAnsi="Times New Roman" w:cs="Times New Roman"/>
        </w:rPr>
        <w:t xml:space="preserve"> – they obtain results that are consistent with Chava and </w:t>
      </w:r>
      <w:proofErr w:type="spellStart"/>
      <w:r>
        <w:rPr>
          <w:rFonts w:ascii="Times New Roman" w:hAnsi="Times New Roman" w:cs="Times New Roman"/>
        </w:rPr>
        <w:t>Purnanandam</w:t>
      </w:r>
      <w:proofErr w:type="spellEnd"/>
      <w:r>
        <w:rPr>
          <w:rFonts w:ascii="Times New Roman" w:hAnsi="Times New Roman" w:cs="Times New Roman"/>
        </w:rPr>
        <w:t xml:space="preserve"> (2010) by showing that </w:t>
      </w:r>
      <w:r w:rsidRPr="0085548A">
        <w:rPr>
          <w:rFonts w:ascii="Times New Roman" w:hAnsi="Times New Roman" w:cs="Times New Roman"/>
        </w:rPr>
        <w:t>managers with less convexity in their compensation contracts tend to reduce leverage and R&amp;D while increasing cash holding after an increase in firm risk.</w:t>
      </w:r>
    </w:p>
  </w:footnote>
  <w:footnote w:id="6">
    <w:p w:rsidR="00634EF3" w:rsidRDefault="00634EF3" w:rsidP="006079E7">
      <w:pPr>
        <w:pStyle w:val="FootnoteText"/>
        <w:jc w:val="both"/>
      </w:pPr>
      <w:r w:rsidRPr="006079E7">
        <w:rPr>
          <w:rStyle w:val="FootnoteReference"/>
        </w:rPr>
        <w:footnoteRef/>
      </w:r>
      <w:r w:rsidRPr="006079E7">
        <w:rPr>
          <w:rFonts w:ascii="Times New Roman" w:hAnsi="Times New Roman" w:cs="Times New Roman"/>
          <w:shd w:val="clear" w:color="auto" w:fill="FFFFFF"/>
        </w:rPr>
        <w:t xml:space="preserve"> In the internet appendix, Hayes, Lemmon and </w:t>
      </w:r>
      <w:proofErr w:type="spellStart"/>
      <w:r w:rsidRPr="006079E7">
        <w:rPr>
          <w:rFonts w:ascii="Times New Roman" w:hAnsi="Times New Roman" w:cs="Times New Roman"/>
          <w:shd w:val="clear" w:color="auto" w:fill="FFFFFF"/>
        </w:rPr>
        <w:t>Qiu</w:t>
      </w:r>
      <w:proofErr w:type="spellEnd"/>
      <w:r w:rsidRPr="006079E7">
        <w:rPr>
          <w:rFonts w:ascii="Times New Roman" w:hAnsi="Times New Roman" w:cs="Times New Roman"/>
          <w:shd w:val="clear" w:color="auto" w:fill="FFFFFF"/>
        </w:rPr>
        <w:t xml:space="preserve"> (2012) use a control group similar to one of our two control groups to run a </w:t>
      </w:r>
      <w:r>
        <w:rPr>
          <w:rFonts w:ascii="Times New Roman" w:hAnsi="Times New Roman" w:cs="Times New Roman"/>
          <w:shd w:val="clear" w:color="auto" w:fill="FFFFFF"/>
        </w:rPr>
        <w:t xml:space="preserve">DID </w:t>
      </w:r>
      <w:r w:rsidRPr="006079E7">
        <w:rPr>
          <w:rFonts w:ascii="Times New Roman" w:hAnsi="Times New Roman" w:cs="Times New Roman"/>
          <w:shd w:val="clear" w:color="auto" w:fill="FFFFFF"/>
        </w:rPr>
        <w:t>specification.</w:t>
      </w:r>
    </w:p>
  </w:footnote>
  <w:footnote w:id="7">
    <w:p w:rsidR="00634EF3" w:rsidRPr="00156BE5" w:rsidRDefault="00634EF3" w:rsidP="00931D54">
      <w:pPr>
        <w:pStyle w:val="FootnoteText"/>
        <w:jc w:val="both"/>
        <w:rPr>
          <w:rFonts w:ascii="Times New Roman" w:hAnsi="Times New Roman" w:cs="Times New Roman"/>
        </w:rPr>
      </w:pPr>
      <w:r w:rsidRPr="00534D38">
        <w:rPr>
          <w:rStyle w:val="FootnoteReference"/>
          <w:rFonts w:ascii="Times New Roman" w:hAnsi="Times New Roman" w:cs="Times New Roman"/>
        </w:rPr>
        <w:footnoteRef/>
      </w:r>
      <w:r w:rsidRPr="00534D38">
        <w:rPr>
          <w:rFonts w:ascii="Times New Roman" w:hAnsi="Times New Roman" w:cs="Times New Roman"/>
        </w:rPr>
        <w:t xml:space="preserve"> </w:t>
      </w:r>
      <w:r>
        <w:rPr>
          <w:rFonts w:ascii="Times New Roman" w:hAnsi="Times New Roman" w:cs="Times New Roman"/>
        </w:rPr>
        <w:t xml:space="preserve">These results </w:t>
      </w:r>
      <w:r w:rsidRPr="00156BE5">
        <w:rPr>
          <w:rFonts w:ascii="Times New Roman" w:hAnsi="Times New Roman" w:cs="Times New Roman"/>
          <w:shd w:val="clear" w:color="auto" w:fill="FFFFFF"/>
        </w:rPr>
        <w:t xml:space="preserve">suggest that our sample is not systemically different from the larger sample studied </w:t>
      </w:r>
      <w:r>
        <w:rPr>
          <w:rFonts w:ascii="Times New Roman" w:hAnsi="Times New Roman" w:cs="Times New Roman"/>
          <w:shd w:val="clear" w:color="auto" w:fill="FFFFFF"/>
        </w:rPr>
        <w:t xml:space="preserve">by Hayes, </w:t>
      </w:r>
      <w:proofErr w:type="spellStart"/>
      <w:r>
        <w:rPr>
          <w:rFonts w:ascii="Times New Roman" w:hAnsi="Times New Roman" w:cs="Times New Roman"/>
          <w:shd w:val="clear" w:color="auto" w:fill="FFFFFF"/>
        </w:rPr>
        <w:t>Qiu</w:t>
      </w:r>
      <w:proofErr w:type="spellEnd"/>
      <w:r>
        <w:rPr>
          <w:rFonts w:ascii="Times New Roman" w:hAnsi="Times New Roman" w:cs="Times New Roman"/>
          <w:shd w:val="clear" w:color="auto" w:fill="FFFFFF"/>
        </w:rPr>
        <w:t xml:space="preserve"> and Lemmon (2012)</w:t>
      </w:r>
      <w:r w:rsidRPr="00156BE5">
        <w:rPr>
          <w:rFonts w:ascii="Times New Roman" w:hAnsi="Times New Roman" w:cs="Times New Roman"/>
          <w:shd w:val="clear" w:color="auto" w:fill="FFFFFF"/>
        </w:rPr>
        <w:t xml:space="preserve">. </w:t>
      </w:r>
    </w:p>
  </w:footnote>
  <w:footnote w:id="8">
    <w:p w:rsidR="00634EF3" w:rsidRDefault="00634EF3" w:rsidP="00B95AFB">
      <w:pPr>
        <w:pStyle w:val="FootnoteText"/>
        <w:jc w:val="both"/>
      </w:pPr>
      <w:r>
        <w:rPr>
          <w:rStyle w:val="FootnoteReference"/>
        </w:rPr>
        <w:footnoteRef/>
      </w:r>
      <w:r>
        <w:t xml:space="preserve"> </w:t>
      </w:r>
      <w:r>
        <w:rPr>
          <w:rFonts w:ascii="Times New Roman" w:hAnsi="Times New Roman" w:cs="Times New Roman"/>
        </w:rPr>
        <w:t xml:space="preserve">As observed in Cooper and </w:t>
      </w:r>
      <w:proofErr w:type="spellStart"/>
      <w:r>
        <w:rPr>
          <w:rFonts w:ascii="Times New Roman" w:hAnsi="Times New Roman" w:cs="Times New Roman"/>
        </w:rPr>
        <w:t>Haltiwanger</w:t>
      </w:r>
      <w:proofErr w:type="spellEnd"/>
      <w:r>
        <w:rPr>
          <w:rFonts w:ascii="Times New Roman" w:hAnsi="Times New Roman" w:cs="Times New Roman"/>
        </w:rPr>
        <w:t xml:space="preserve"> (2006) and </w:t>
      </w:r>
      <w:proofErr w:type="spellStart"/>
      <w:r>
        <w:rPr>
          <w:rFonts w:ascii="Times New Roman" w:hAnsi="Times New Roman" w:cs="Times New Roman"/>
        </w:rPr>
        <w:t>Strebulaev</w:t>
      </w:r>
      <w:proofErr w:type="spellEnd"/>
      <w:r>
        <w:rPr>
          <w:rFonts w:ascii="Times New Roman" w:hAnsi="Times New Roman" w:cs="Times New Roman"/>
        </w:rPr>
        <w:t xml:space="preserve"> (2007) this likely due to the sizable adjustment costs associated with changes in leverage and capital expenditure.</w:t>
      </w:r>
    </w:p>
  </w:footnote>
  <w:footnote w:id="9">
    <w:p w:rsidR="00634EF3" w:rsidRPr="00842764" w:rsidRDefault="00634EF3" w:rsidP="00B95AFB">
      <w:pPr>
        <w:autoSpaceDE w:val="0"/>
        <w:autoSpaceDN w:val="0"/>
        <w:adjustRightInd w:val="0"/>
        <w:spacing w:after="0" w:line="240" w:lineRule="auto"/>
        <w:jc w:val="both"/>
        <w:rPr>
          <w:rFonts w:ascii="Times New Roman" w:hAnsi="Times New Roman" w:cs="Times New Roman"/>
          <w:sz w:val="20"/>
          <w:szCs w:val="20"/>
        </w:rPr>
      </w:pPr>
      <w:r w:rsidRPr="009A476C">
        <w:rPr>
          <w:rStyle w:val="FootnoteReference"/>
          <w:rFonts w:ascii="Times New Roman" w:hAnsi="Times New Roman" w:cs="Times New Roman"/>
          <w:sz w:val="20"/>
          <w:szCs w:val="20"/>
        </w:rPr>
        <w:footnoteRef/>
      </w:r>
      <w:r w:rsidRPr="009A476C">
        <w:rPr>
          <w:rFonts w:ascii="Times New Roman" w:hAnsi="Times New Roman" w:cs="Times New Roman"/>
          <w:sz w:val="20"/>
          <w:szCs w:val="20"/>
        </w:rPr>
        <w:t xml:space="preserve"> </w:t>
      </w:r>
      <w:r w:rsidRPr="00034653">
        <w:rPr>
          <w:rFonts w:ascii="Times New Roman" w:hAnsi="Times New Roman" w:cs="Times New Roman"/>
          <w:sz w:val="20"/>
          <w:szCs w:val="20"/>
        </w:rPr>
        <w:t>Studies such as Cheng and Warfield</w:t>
      </w:r>
      <w:r>
        <w:rPr>
          <w:rFonts w:ascii="Times New Roman" w:hAnsi="Times New Roman" w:cs="Times New Roman"/>
          <w:sz w:val="20"/>
          <w:szCs w:val="20"/>
        </w:rPr>
        <w:t xml:space="preserve"> (</w:t>
      </w:r>
      <w:r w:rsidRPr="00034653">
        <w:rPr>
          <w:rFonts w:ascii="Times New Roman" w:hAnsi="Times New Roman" w:cs="Times New Roman"/>
          <w:sz w:val="20"/>
          <w:szCs w:val="20"/>
        </w:rPr>
        <w:t>2005</w:t>
      </w:r>
      <w:r>
        <w:rPr>
          <w:rFonts w:ascii="Times New Roman" w:hAnsi="Times New Roman" w:cs="Times New Roman"/>
          <w:sz w:val="20"/>
          <w:szCs w:val="20"/>
        </w:rPr>
        <w:t>)</w:t>
      </w:r>
      <w:r w:rsidRPr="00034653">
        <w:rPr>
          <w:rFonts w:ascii="Times New Roman" w:hAnsi="Times New Roman" w:cs="Times New Roman"/>
          <w:sz w:val="20"/>
          <w:szCs w:val="20"/>
        </w:rPr>
        <w:t xml:space="preserve">; </w:t>
      </w:r>
      <w:proofErr w:type="spellStart"/>
      <w:r w:rsidRPr="00034653">
        <w:rPr>
          <w:rFonts w:ascii="Times New Roman" w:hAnsi="Times New Roman" w:cs="Times New Roman"/>
          <w:sz w:val="20"/>
          <w:szCs w:val="20"/>
        </w:rPr>
        <w:t>Bergstresser</w:t>
      </w:r>
      <w:proofErr w:type="spellEnd"/>
      <w:r w:rsidRPr="00034653">
        <w:rPr>
          <w:rFonts w:ascii="Times New Roman" w:hAnsi="Times New Roman" w:cs="Times New Roman"/>
          <w:sz w:val="20"/>
          <w:szCs w:val="20"/>
        </w:rPr>
        <w:t xml:space="preserve"> and </w:t>
      </w:r>
      <w:proofErr w:type="spellStart"/>
      <w:r w:rsidRPr="00034653">
        <w:rPr>
          <w:rFonts w:ascii="Times New Roman" w:hAnsi="Times New Roman" w:cs="Times New Roman"/>
          <w:sz w:val="20"/>
          <w:szCs w:val="20"/>
        </w:rPr>
        <w:t>Philippon</w:t>
      </w:r>
      <w:proofErr w:type="spellEnd"/>
      <w:r>
        <w:rPr>
          <w:rFonts w:ascii="Times New Roman" w:hAnsi="Times New Roman" w:cs="Times New Roman"/>
          <w:sz w:val="20"/>
          <w:szCs w:val="20"/>
        </w:rPr>
        <w:t xml:space="preserve"> (</w:t>
      </w:r>
      <w:r w:rsidRPr="00034653">
        <w:rPr>
          <w:rFonts w:ascii="Times New Roman" w:hAnsi="Times New Roman" w:cs="Times New Roman"/>
          <w:sz w:val="20"/>
          <w:szCs w:val="20"/>
        </w:rPr>
        <w:t>2006</w:t>
      </w:r>
      <w:r>
        <w:rPr>
          <w:rFonts w:ascii="Times New Roman" w:hAnsi="Times New Roman" w:cs="Times New Roman"/>
          <w:sz w:val="20"/>
          <w:szCs w:val="20"/>
        </w:rPr>
        <w:t>)</w:t>
      </w:r>
      <w:r w:rsidRPr="00034653">
        <w:rPr>
          <w:rFonts w:ascii="Times New Roman" w:hAnsi="Times New Roman" w:cs="Times New Roman"/>
          <w:sz w:val="20"/>
          <w:szCs w:val="20"/>
        </w:rPr>
        <w:t xml:space="preserve">; Burns and </w:t>
      </w:r>
      <w:proofErr w:type="spellStart"/>
      <w:r w:rsidRPr="00034653">
        <w:rPr>
          <w:rFonts w:ascii="Times New Roman" w:hAnsi="Times New Roman" w:cs="Times New Roman"/>
          <w:sz w:val="20"/>
          <w:szCs w:val="20"/>
        </w:rPr>
        <w:t>Kedia</w:t>
      </w:r>
      <w:proofErr w:type="spellEnd"/>
      <w:r>
        <w:rPr>
          <w:rFonts w:ascii="Times New Roman" w:hAnsi="Times New Roman" w:cs="Times New Roman"/>
          <w:sz w:val="20"/>
          <w:szCs w:val="20"/>
        </w:rPr>
        <w:t xml:space="preserve"> (</w:t>
      </w:r>
      <w:r w:rsidRPr="00034653">
        <w:rPr>
          <w:rFonts w:ascii="Times New Roman" w:hAnsi="Times New Roman" w:cs="Times New Roman"/>
          <w:sz w:val="20"/>
          <w:szCs w:val="20"/>
        </w:rPr>
        <w:t>2006,</w:t>
      </w:r>
      <w:r>
        <w:rPr>
          <w:rFonts w:ascii="Times New Roman" w:hAnsi="Times New Roman" w:cs="Times New Roman"/>
          <w:sz w:val="20"/>
          <w:szCs w:val="20"/>
        </w:rPr>
        <w:t xml:space="preserve"> </w:t>
      </w:r>
      <w:r w:rsidRPr="00034653">
        <w:rPr>
          <w:rFonts w:ascii="Times New Roman" w:hAnsi="Times New Roman" w:cs="Times New Roman"/>
          <w:sz w:val="20"/>
          <w:szCs w:val="20"/>
        </w:rPr>
        <w:t>2008</w:t>
      </w:r>
      <w:r>
        <w:rPr>
          <w:rFonts w:ascii="Times New Roman" w:hAnsi="Times New Roman" w:cs="Times New Roman"/>
          <w:sz w:val="20"/>
          <w:szCs w:val="20"/>
        </w:rPr>
        <w:t>)</w:t>
      </w:r>
      <w:r w:rsidRPr="00034653">
        <w:rPr>
          <w:rFonts w:ascii="Times New Roman" w:hAnsi="Times New Roman" w:cs="Times New Roman"/>
          <w:sz w:val="20"/>
          <w:szCs w:val="20"/>
        </w:rPr>
        <w:t xml:space="preserve">; </w:t>
      </w:r>
      <w:proofErr w:type="spellStart"/>
      <w:r w:rsidRPr="00034653">
        <w:rPr>
          <w:rFonts w:ascii="Times New Roman" w:hAnsi="Times New Roman" w:cs="Times New Roman"/>
          <w:sz w:val="20"/>
          <w:szCs w:val="20"/>
        </w:rPr>
        <w:t>Peng</w:t>
      </w:r>
      <w:proofErr w:type="spellEnd"/>
      <w:r w:rsidRPr="00034653">
        <w:rPr>
          <w:rFonts w:ascii="Times New Roman" w:hAnsi="Times New Roman" w:cs="Times New Roman"/>
          <w:sz w:val="20"/>
          <w:szCs w:val="20"/>
        </w:rPr>
        <w:t xml:space="preserve"> and </w:t>
      </w:r>
      <w:proofErr w:type="spellStart"/>
      <w:r w:rsidRPr="00034653">
        <w:rPr>
          <w:rFonts w:ascii="Times New Roman" w:hAnsi="Times New Roman" w:cs="Times New Roman"/>
          <w:sz w:val="20"/>
          <w:szCs w:val="20"/>
        </w:rPr>
        <w:t>Roell</w:t>
      </w:r>
      <w:proofErr w:type="spellEnd"/>
      <w:r>
        <w:rPr>
          <w:rFonts w:ascii="Times New Roman" w:hAnsi="Times New Roman" w:cs="Times New Roman"/>
          <w:sz w:val="20"/>
          <w:szCs w:val="20"/>
        </w:rPr>
        <w:t xml:space="preserve"> (</w:t>
      </w:r>
      <w:r w:rsidRPr="00034653">
        <w:rPr>
          <w:rFonts w:ascii="Times New Roman" w:hAnsi="Times New Roman" w:cs="Times New Roman"/>
          <w:sz w:val="20"/>
          <w:szCs w:val="20"/>
        </w:rPr>
        <w:t>2008</w:t>
      </w:r>
      <w:r>
        <w:rPr>
          <w:rFonts w:ascii="Times New Roman" w:hAnsi="Times New Roman" w:cs="Times New Roman"/>
          <w:sz w:val="20"/>
          <w:szCs w:val="20"/>
        </w:rPr>
        <w:t>); Denis et al. (2006)</w:t>
      </w:r>
      <w:r w:rsidRPr="00034653">
        <w:rPr>
          <w:rFonts w:ascii="Times New Roman" w:hAnsi="Times New Roman" w:cs="Times New Roman"/>
          <w:sz w:val="20"/>
          <w:szCs w:val="20"/>
        </w:rPr>
        <w:t xml:space="preserve"> have showed that holding of stock options by managers is associated with manipulation of corporate earnings and accounting fraud aiming at boosting market valuations in the short run, allowing managers to exercise option</w:t>
      </w:r>
      <w:r>
        <w:rPr>
          <w:rFonts w:ascii="Times New Roman" w:hAnsi="Times New Roman" w:cs="Times New Roman"/>
          <w:sz w:val="20"/>
          <w:szCs w:val="20"/>
        </w:rPr>
        <w:t>s at the inflated stock price.</w:t>
      </w:r>
    </w:p>
  </w:footnote>
  <w:footnote w:id="10">
    <w:p w:rsidR="00634EF3" w:rsidRPr="003F467E" w:rsidRDefault="00634EF3" w:rsidP="00DB0449">
      <w:pPr>
        <w:autoSpaceDE w:val="0"/>
        <w:autoSpaceDN w:val="0"/>
        <w:adjustRightInd w:val="0"/>
        <w:spacing w:after="60" w:line="240" w:lineRule="auto"/>
        <w:jc w:val="both"/>
        <w:rPr>
          <w:rFonts w:ascii="Times New Roman" w:hAnsi="Times New Roman" w:cs="Times New Roman"/>
          <w:sz w:val="20"/>
          <w:szCs w:val="20"/>
        </w:rPr>
      </w:pPr>
      <w:r w:rsidRPr="00B9255F">
        <w:rPr>
          <w:rStyle w:val="FootnoteReference"/>
          <w:rFonts w:ascii="Times New Roman" w:hAnsi="Times New Roman" w:cs="Times New Roman"/>
          <w:sz w:val="20"/>
          <w:szCs w:val="20"/>
        </w:rPr>
        <w:footnoteRef/>
      </w:r>
      <w:r w:rsidRPr="00B9255F">
        <w:rPr>
          <w:rFonts w:ascii="Times New Roman" w:hAnsi="Times New Roman" w:cs="Times New Roman"/>
          <w:sz w:val="20"/>
          <w:szCs w:val="20"/>
        </w:rPr>
        <w:t xml:space="preserve"> </w:t>
      </w:r>
      <w:r w:rsidRPr="005B0592">
        <w:rPr>
          <w:rFonts w:ascii="NewBaskerville-Italic" w:hAnsi="NewBaskerville-Italic" w:cs="NewBaskerville-Italic"/>
          <w:iCs/>
          <w:sz w:val="20"/>
          <w:szCs w:val="20"/>
        </w:rPr>
        <w:t>Accounting Principles Board</w:t>
      </w:r>
      <w:r w:rsidRPr="00B9255F">
        <w:rPr>
          <w:rFonts w:ascii="Times New Roman" w:hAnsi="Times New Roman" w:cs="Times New Roman"/>
          <w:sz w:val="20"/>
          <w:szCs w:val="20"/>
        </w:rPr>
        <w:t xml:space="preserve"> </w:t>
      </w:r>
      <w:r>
        <w:rPr>
          <w:rFonts w:ascii="Times New Roman" w:hAnsi="Times New Roman" w:cs="Times New Roman"/>
          <w:sz w:val="20"/>
          <w:szCs w:val="20"/>
        </w:rPr>
        <w:t>is the predecessor organization of the Financial Accounting Standards Board (FASB) which established Generally Accepted Accounting Standards (GAAP).</w:t>
      </w:r>
    </w:p>
  </w:footnote>
  <w:footnote w:id="11">
    <w:p w:rsidR="00634EF3" w:rsidRPr="005C536C" w:rsidRDefault="00634EF3" w:rsidP="009C3B46">
      <w:pPr>
        <w:autoSpaceDE w:val="0"/>
        <w:autoSpaceDN w:val="0"/>
        <w:adjustRightInd w:val="0"/>
        <w:spacing w:after="60" w:line="240" w:lineRule="auto"/>
        <w:jc w:val="both"/>
        <w:rPr>
          <w:rFonts w:ascii="Times New Roman" w:hAnsi="Times New Roman" w:cs="Times New Roman"/>
          <w:sz w:val="20"/>
          <w:szCs w:val="20"/>
        </w:rPr>
      </w:pPr>
      <w:r w:rsidRPr="005C536C">
        <w:rPr>
          <w:rStyle w:val="FootnoteReference"/>
          <w:rFonts w:ascii="Times New Roman" w:hAnsi="Times New Roman" w:cs="Times New Roman"/>
          <w:sz w:val="20"/>
          <w:szCs w:val="20"/>
        </w:rPr>
        <w:footnoteRef/>
      </w:r>
      <w:r w:rsidRPr="005C536C">
        <w:rPr>
          <w:rFonts w:ascii="Times New Roman" w:hAnsi="Times New Roman" w:cs="Times New Roman"/>
          <w:sz w:val="20"/>
          <w:szCs w:val="20"/>
        </w:rPr>
        <w:t xml:space="preserve"> See Hayes, Lemmon and </w:t>
      </w:r>
      <w:proofErr w:type="spellStart"/>
      <w:r w:rsidRPr="005C536C">
        <w:rPr>
          <w:rFonts w:ascii="Times New Roman" w:hAnsi="Times New Roman" w:cs="Times New Roman"/>
          <w:sz w:val="20"/>
          <w:szCs w:val="20"/>
        </w:rPr>
        <w:t>Qiu</w:t>
      </w:r>
      <w:proofErr w:type="spellEnd"/>
      <w:r w:rsidRPr="005C536C">
        <w:rPr>
          <w:rFonts w:ascii="Times New Roman" w:hAnsi="Times New Roman" w:cs="Times New Roman"/>
          <w:sz w:val="20"/>
          <w:szCs w:val="20"/>
        </w:rPr>
        <w:t xml:space="preserve"> (2012) for a comprehensive assessment of how other equity-based compensation such as </w:t>
      </w:r>
      <w:r>
        <w:rPr>
          <w:rFonts w:ascii="Times New Roman" w:hAnsi="Times New Roman" w:cs="Times New Roman"/>
          <w:sz w:val="20"/>
          <w:szCs w:val="20"/>
        </w:rPr>
        <w:t>R</w:t>
      </w:r>
      <w:r w:rsidRPr="005C536C">
        <w:rPr>
          <w:rFonts w:ascii="Times New Roman" w:hAnsi="Times New Roman" w:cs="Times New Roman"/>
          <w:sz w:val="20"/>
          <w:szCs w:val="20"/>
        </w:rPr>
        <w:t>estricted</w:t>
      </w:r>
      <w:r>
        <w:rPr>
          <w:rFonts w:ascii="Times New Roman" w:hAnsi="Times New Roman" w:cs="Times New Roman"/>
          <w:sz w:val="20"/>
          <w:szCs w:val="20"/>
        </w:rPr>
        <w:t xml:space="preserve"> Stock U</w:t>
      </w:r>
      <w:r w:rsidRPr="005C536C">
        <w:rPr>
          <w:rFonts w:ascii="Times New Roman" w:hAnsi="Times New Roman" w:cs="Times New Roman"/>
          <w:sz w:val="20"/>
          <w:szCs w:val="20"/>
        </w:rPr>
        <w:t xml:space="preserve">nits (RSU) and equity awards with performance-based vesting conditions were affected by </w:t>
      </w:r>
      <w:r>
        <w:rPr>
          <w:rFonts w:ascii="Times New Roman" w:hAnsi="Times New Roman" w:cs="Times New Roman"/>
          <w:sz w:val="20"/>
          <w:szCs w:val="20"/>
        </w:rPr>
        <w:t>FAS 123R</w:t>
      </w:r>
      <w:r w:rsidRPr="005C536C">
        <w:rPr>
          <w:rFonts w:ascii="Times New Roman" w:hAnsi="Times New Roman" w:cs="Times New Roman"/>
          <w:sz w:val="20"/>
          <w:szCs w:val="20"/>
        </w:rPr>
        <w:t xml:space="preserve">. </w:t>
      </w:r>
    </w:p>
  </w:footnote>
  <w:footnote w:id="12">
    <w:p w:rsidR="00634EF3" w:rsidRPr="00B0608C" w:rsidRDefault="00634EF3" w:rsidP="007C4E77">
      <w:pPr>
        <w:pStyle w:val="FootnoteText"/>
        <w:jc w:val="both"/>
        <w:rPr>
          <w:rFonts w:ascii="Times New Roman" w:hAnsi="Times New Roman" w:cs="Times New Roman"/>
        </w:rPr>
      </w:pPr>
      <w:r>
        <w:rPr>
          <w:rStyle w:val="FootnoteReference"/>
        </w:rPr>
        <w:footnoteRef/>
      </w:r>
      <w:r>
        <w:t xml:space="preserve"> </w:t>
      </w:r>
      <w:r w:rsidRPr="00B0608C">
        <w:rPr>
          <w:rFonts w:ascii="Times New Roman" w:hAnsi="Times New Roman" w:cs="Times New Roman"/>
          <w:color w:val="000000"/>
        </w:rPr>
        <w:t xml:space="preserve">Ideally we would select a control group with zero total outstanding stock options in 10 years prior to </w:t>
      </w:r>
      <w:r>
        <w:rPr>
          <w:rFonts w:ascii="Times New Roman" w:hAnsi="Times New Roman" w:cs="Times New Roman"/>
          <w:color w:val="000000"/>
        </w:rPr>
        <w:t>FAS 123R</w:t>
      </w:r>
      <w:r w:rsidRPr="00B0608C">
        <w:rPr>
          <w:rFonts w:ascii="Times New Roman" w:hAnsi="Times New Roman" w:cs="Times New Roman"/>
          <w:color w:val="000000"/>
        </w:rPr>
        <w:t>. However, no firm satisfies this requirement in our sample. Given these data limitations, for our control group we select a subsample of firms that issue zero stock options in 20</w:t>
      </w:r>
      <w:r>
        <w:rPr>
          <w:rFonts w:ascii="Times New Roman" w:hAnsi="Times New Roman" w:cs="Times New Roman"/>
          <w:color w:val="000000"/>
        </w:rPr>
        <w:t>04 and 2005</w:t>
      </w:r>
      <w:r w:rsidRPr="00B0608C">
        <w:rPr>
          <w:rFonts w:ascii="Times New Roman" w:hAnsi="Times New Roman" w:cs="Times New Roman"/>
          <w:color w:val="000000"/>
        </w:rPr>
        <w:t xml:space="preserve">. We view these firms as a control group that is "relatively" unaffected by </w:t>
      </w:r>
      <w:r>
        <w:rPr>
          <w:rFonts w:ascii="Times New Roman" w:hAnsi="Times New Roman" w:cs="Times New Roman"/>
          <w:color w:val="000000"/>
        </w:rPr>
        <w:t>FAS 123R</w:t>
      </w:r>
      <w:r w:rsidRPr="00B0608C">
        <w:rPr>
          <w:rFonts w:ascii="Times New Roman" w:hAnsi="Times New Roman" w:cs="Times New Roman"/>
          <w:color w:val="000000"/>
        </w:rPr>
        <w:t>. This is a fai</w:t>
      </w:r>
      <w:r>
        <w:rPr>
          <w:rFonts w:ascii="Times New Roman" w:hAnsi="Times New Roman" w:cs="Times New Roman"/>
          <w:color w:val="000000"/>
        </w:rPr>
        <w:t>r assumption given that a significant portion of</w:t>
      </w:r>
      <w:r w:rsidRPr="00B0608C">
        <w:rPr>
          <w:rFonts w:ascii="Times New Roman" w:hAnsi="Times New Roman" w:cs="Times New Roman"/>
          <w:color w:val="000000"/>
        </w:rPr>
        <w:t xml:space="preserve"> </w:t>
      </w:r>
      <w:r>
        <w:rPr>
          <w:rFonts w:ascii="Times New Roman" w:hAnsi="Times New Roman" w:cs="Times New Roman"/>
          <w:color w:val="000000"/>
        </w:rPr>
        <w:t xml:space="preserve">total </w:t>
      </w:r>
      <w:proofErr w:type="spellStart"/>
      <w:proofErr w:type="gramStart"/>
      <w:r w:rsidRPr="00B0608C">
        <w:rPr>
          <w:rFonts w:ascii="Times New Roman" w:hAnsi="Times New Roman" w:cs="Times New Roman"/>
          <w:color w:val="000000"/>
        </w:rPr>
        <w:t>vega</w:t>
      </w:r>
      <w:proofErr w:type="spellEnd"/>
      <w:proofErr w:type="gramEnd"/>
      <w:r w:rsidRPr="00B0608C">
        <w:rPr>
          <w:rFonts w:ascii="Times New Roman" w:hAnsi="Times New Roman" w:cs="Times New Roman"/>
          <w:color w:val="000000"/>
        </w:rPr>
        <w:t xml:space="preserve"> is due to o</w:t>
      </w:r>
      <w:r>
        <w:rPr>
          <w:rFonts w:ascii="Times New Roman" w:hAnsi="Times New Roman" w:cs="Times New Roman"/>
          <w:color w:val="000000"/>
        </w:rPr>
        <w:t>ption grants awarded in the current</w:t>
      </w:r>
      <w:r w:rsidRPr="00B0608C">
        <w:rPr>
          <w:rFonts w:ascii="Times New Roman" w:hAnsi="Times New Roman" w:cs="Times New Roman"/>
          <w:color w:val="000000"/>
        </w:rPr>
        <w:t xml:space="preserve"> year. Of course we acknowledge the fact that these firms have some outstanding stock options and are thus not the perfect control group.</w:t>
      </w:r>
      <w:r w:rsidRPr="00B0608C">
        <w:rPr>
          <w:rStyle w:val="apple-converted-space"/>
          <w:rFonts w:ascii="Times New Roman" w:hAnsi="Times New Roman" w:cs="Times New Roman"/>
          <w:color w:val="000000"/>
        </w:rPr>
        <w:t> </w:t>
      </w:r>
    </w:p>
  </w:footnote>
  <w:footnote w:id="13">
    <w:p w:rsidR="00634EF3" w:rsidRPr="003F467E" w:rsidRDefault="00634EF3" w:rsidP="007C4E77">
      <w:pPr>
        <w:autoSpaceDE w:val="0"/>
        <w:autoSpaceDN w:val="0"/>
        <w:adjustRightInd w:val="0"/>
        <w:spacing w:after="60" w:line="240" w:lineRule="auto"/>
        <w:jc w:val="both"/>
        <w:rPr>
          <w:rFonts w:ascii="Times New Roman" w:hAnsi="Times New Roman" w:cs="Times New Roman"/>
          <w:sz w:val="20"/>
          <w:szCs w:val="20"/>
        </w:rPr>
      </w:pPr>
      <w:r w:rsidRPr="00B9255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B9255F">
        <w:rPr>
          <w:rFonts w:ascii="Times New Roman" w:hAnsi="Times New Roman" w:cs="Times New Roman"/>
          <w:sz w:val="20"/>
          <w:szCs w:val="20"/>
        </w:rPr>
        <w:t xml:space="preserve">Carter et al. (2007) show that firms choosing to voluntarily expense stock option grants prior to </w:t>
      </w:r>
      <w:r>
        <w:rPr>
          <w:rFonts w:ascii="Times New Roman" w:hAnsi="Times New Roman" w:cs="Times New Roman"/>
          <w:sz w:val="20"/>
          <w:szCs w:val="20"/>
        </w:rPr>
        <w:t>FAS 123Rd</w:t>
      </w:r>
      <w:r w:rsidRPr="00B9255F">
        <w:rPr>
          <w:rFonts w:ascii="Times New Roman" w:hAnsi="Times New Roman" w:cs="Times New Roman"/>
          <w:sz w:val="20"/>
          <w:szCs w:val="20"/>
        </w:rPr>
        <w:t>ecreased their use of options and increased their use of restricted stock following their expensing decisions.</w:t>
      </w:r>
      <w:r>
        <w:rPr>
          <w:rFonts w:ascii="Times New Roman" w:hAnsi="Times New Roman" w:cs="Times New Roman"/>
          <w:sz w:val="20"/>
          <w:szCs w:val="20"/>
        </w:rPr>
        <w:t xml:space="preserve"> </w:t>
      </w:r>
      <w:r w:rsidRPr="00B9255F">
        <w:rPr>
          <w:rFonts w:ascii="Times New Roman" w:hAnsi="Times New Roman" w:cs="Times New Roman"/>
          <w:sz w:val="20"/>
          <w:szCs w:val="20"/>
        </w:rPr>
        <w:t>Therefore, to ensure that the control firms are not in transition of adjusting their corporate policies in response</w:t>
      </w:r>
      <w:r>
        <w:rPr>
          <w:rFonts w:ascii="Times New Roman" w:hAnsi="Times New Roman" w:cs="Times New Roman"/>
          <w:sz w:val="20"/>
          <w:szCs w:val="20"/>
        </w:rPr>
        <w:t xml:space="preserve"> </w:t>
      </w:r>
      <w:r w:rsidRPr="00B9255F">
        <w:rPr>
          <w:rFonts w:ascii="Times New Roman" w:hAnsi="Times New Roman" w:cs="Times New Roman"/>
          <w:sz w:val="20"/>
          <w:szCs w:val="20"/>
        </w:rPr>
        <w:t xml:space="preserve">to changes in CEO compensation </w:t>
      </w:r>
      <w:proofErr w:type="spellStart"/>
      <w:r w:rsidRPr="00B9255F">
        <w:rPr>
          <w:rFonts w:ascii="Times New Roman" w:hAnsi="Times New Roman" w:cs="Times New Roman"/>
          <w:sz w:val="20"/>
          <w:szCs w:val="20"/>
        </w:rPr>
        <w:t>vega</w:t>
      </w:r>
      <w:proofErr w:type="spellEnd"/>
      <w:r w:rsidRPr="00B9255F">
        <w:rPr>
          <w:rFonts w:ascii="Times New Roman" w:hAnsi="Times New Roman" w:cs="Times New Roman"/>
          <w:sz w:val="20"/>
          <w:szCs w:val="20"/>
        </w:rPr>
        <w:t>, we use firms that "started" to voluntarily expense stock option grants in</w:t>
      </w:r>
      <w:r>
        <w:rPr>
          <w:rFonts w:ascii="Times New Roman" w:hAnsi="Times New Roman" w:cs="Times New Roman"/>
          <w:sz w:val="20"/>
          <w:szCs w:val="20"/>
        </w:rPr>
        <w:t xml:space="preserve"> </w:t>
      </w:r>
      <w:r w:rsidRPr="00B9255F">
        <w:rPr>
          <w:rFonts w:ascii="Times New Roman" w:hAnsi="Times New Roman" w:cs="Times New Roman"/>
          <w:sz w:val="20"/>
          <w:szCs w:val="20"/>
        </w:rPr>
        <w:t>2002.</w:t>
      </w:r>
    </w:p>
  </w:footnote>
  <w:footnote w:id="14">
    <w:p w:rsidR="008964A7" w:rsidRPr="008964A7" w:rsidRDefault="008964A7" w:rsidP="008964A7">
      <w:pPr>
        <w:pStyle w:val="FootnoteText"/>
        <w:jc w:val="both"/>
        <w:rPr>
          <w:rFonts w:ascii="Times New Roman" w:hAnsi="Times New Roman" w:cs="Times New Roman"/>
        </w:rPr>
      </w:pPr>
      <w:r w:rsidRPr="008964A7">
        <w:rPr>
          <w:rStyle w:val="FootnoteReference"/>
          <w:rFonts w:ascii="Times New Roman" w:hAnsi="Times New Roman" w:cs="Times New Roman"/>
        </w:rPr>
        <w:footnoteRef/>
      </w:r>
      <w:r w:rsidRPr="008964A7">
        <w:rPr>
          <w:rFonts w:ascii="Times New Roman" w:hAnsi="Times New Roman" w:cs="Times New Roman"/>
        </w:rPr>
        <w:t xml:space="preserve"> </w:t>
      </w:r>
      <w:r>
        <w:rPr>
          <w:rFonts w:ascii="Times New Roman" w:hAnsi="Times New Roman" w:cs="Times New Roman"/>
        </w:rPr>
        <w:t>Nonetheless, as we discuss later, we screen our entire sample of firms for the presence of performance-based vesting provisions in their CEO and CFO compensation.</w:t>
      </w:r>
    </w:p>
  </w:footnote>
  <w:footnote w:id="15">
    <w:p w:rsidR="00634EF3" w:rsidRPr="005D2A35" w:rsidRDefault="00634EF3" w:rsidP="00CB4557">
      <w:pPr>
        <w:autoSpaceDE w:val="0"/>
        <w:autoSpaceDN w:val="0"/>
        <w:spacing w:after="0" w:line="240" w:lineRule="auto"/>
        <w:jc w:val="both"/>
      </w:pPr>
      <w:r w:rsidRPr="00B24964">
        <w:rPr>
          <w:rStyle w:val="FootnoteReference"/>
          <w:rFonts w:ascii="Times New Roman" w:hAnsi="Times New Roman" w:cs="Times New Roman"/>
          <w:sz w:val="20"/>
          <w:szCs w:val="20"/>
        </w:rPr>
        <w:footnoteRef/>
      </w:r>
      <w:r w:rsidRPr="00B24964">
        <w:rPr>
          <w:rFonts w:ascii="Times New Roman" w:hAnsi="Times New Roman" w:cs="Times New Roman"/>
          <w:sz w:val="20"/>
          <w:szCs w:val="20"/>
        </w:rPr>
        <w:t xml:space="preserve"> </w:t>
      </w:r>
      <w:r w:rsidRPr="00B24964">
        <w:rPr>
          <w:rFonts w:ascii="Times New Roman" w:eastAsia="Times New Roman" w:hAnsi="Times New Roman" w:cs="Times New Roman"/>
          <w:sz w:val="20"/>
          <w:szCs w:val="20"/>
        </w:rPr>
        <w:t>For both hedge ratios, for robustness we use 1-year hedge ratios where the hedge horizons are only one year. Our results remain unchanged</w:t>
      </w:r>
      <w:r>
        <w:rPr>
          <w:rFonts w:ascii="Times New Roman" w:eastAsia="Times New Roman" w:hAnsi="Times New Roman" w:cs="Times New Roman"/>
          <w:sz w:val="20"/>
          <w:szCs w:val="20"/>
        </w:rPr>
        <w:t>.</w:t>
      </w:r>
    </w:p>
  </w:footnote>
  <w:footnote w:id="16">
    <w:p w:rsidR="00634EF3" w:rsidRPr="00B95AFB" w:rsidRDefault="00634EF3" w:rsidP="00B95AFB">
      <w:pPr>
        <w:autoSpaceDE w:val="0"/>
        <w:autoSpaceDN w:val="0"/>
        <w:spacing w:after="0" w:line="240" w:lineRule="auto"/>
        <w:jc w:val="both"/>
        <w:rPr>
          <w:rFonts w:ascii="Times New Roman" w:eastAsia="PMingLiU" w:hAnsi="Times New Roman" w:cs="Times New Roman"/>
          <w:sz w:val="20"/>
          <w:szCs w:val="20"/>
        </w:rPr>
      </w:pPr>
      <w:r w:rsidRPr="00B24964">
        <w:rPr>
          <w:rStyle w:val="FootnoteReference"/>
          <w:rFonts w:ascii="Times New Roman" w:hAnsi="Times New Roman" w:cs="Times New Roman"/>
          <w:sz w:val="20"/>
          <w:szCs w:val="20"/>
        </w:rPr>
        <w:footnoteRef/>
      </w:r>
      <w:r w:rsidRPr="00B24964">
        <w:rPr>
          <w:rFonts w:ascii="Times New Roman" w:hAnsi="Times New Roman" w:cs="Times New Roman"/>
          <w:sz w:val="20"/>
          <w:szCs w:val="20"/>
        </w:rPr>
        <w:t xml:space="preserve"> </w:t>
      </w:r>
      <w:r w:rsidRPr="00CB4557">
        <w:rPr>
          <w:rFonts w:ascii="Times New Roman" w:hAnsi="Times New Roman" w:cs="Times New Roman"/>
          <w:sz w:val="20"/>
          <w:szCs w:val="20"/>
        </w:rPr>
        <w:t>Because of our small sample size w</w:t>
      </w:r>
      <w:r w:rsidRPr="00CB4557">
        <w:rPr>
          <w:rFonts w:ascii="Times New Roman" w:eastAsia="Times New Roman" w:hAnsi="Times New Roman" w:cs="Times New Roman"/>
          <w:sz w:val="20"/>
          <w:szCs w:val="20"/>
        </w:rPr>
        <w:t xml:space="preserve">e </w:t>
      </w:r>
      <w:proofErr w:type="spellStart"/>
      <w:r w:rsidRPr="00CB4557">
        <w:rPr>
          <w:rFonts w:ascii="Times New Roman" w:eastAsia="Times New Roman" w:hAnsi="Times New Roman" w:cs="Times New Roman"/>
          <w:sz w:val="20"/>
          <w:szCs w:val="20"/>
        </w:rPr>
        <w:t>winsorize</w:t>
      </w:r>
      <w:proofErr w:type="spellEnd"/>
      <w:r w:rsidRPr="00CB4557">
        <w:rPr>
          <w:rFonts w:ascii="Times New Roman" w:eastAsia="Times New Roman" w:hAnsi="Times New Roman" w:cs="Times New Roman"/>
          <w:sz w:val="20"/>
          <w:szCs w:val="20"/>
        </w:rPr>
        <w:t xml:space="preserve"> at </w:t>
      </w:r>
      <w:r w:rsidRPr="00CB4557">
        <w:rPr>
          <w:rFonts w:ascii="Times New Roman" w:hAnsi="Times New Roman" w:cs="Times New Roman"/>
          <w:sz w:val="20"/>
          <w:szCs w:val="20"/>
        </w:rPr>
        <w:t>5</w:t>
      </w:r>
      <w:r w:rsidRPr="00CB4557">
        <w:rPr>
          <w:rFonts w:ascii="Times New Roman" w:hAnsi="Times New Roman" w:cs="Times New Roman"/>
          <w:sz w:val="20"/>
          <w:szCs w:val="20"/>
          <w:vertAlign w:val="superscript"/>
        </w:rPr>
        <w:t>th</w:t>
      </w:r>
      <w:r w:rsidRPr="00CB4557">
        <w:rPr>
          <w:rFonts w:ascii="Times New Roman" w:hAnsi="Times New Roman" w:cs="Times New Roman"/>
          <w:sz w:val="20"/>
          <w:szCs w:val="20"/>
        </w:rPr>
        <w:t xml:space="preserve"> and 95</w:t>
      </w:r>
      <w:r w:rsidRPr="00CB4557">
        <w:rPr>
          <w:rFonts w:ascii="Times New Roman" w:hAnsi="Times New Roman" w:cs="Times New Roman"/>
          <w:sz w:val="20"/>
          <w:szCs w:val="20"/>
          <w:vertAlign w:val="superscript"/>
        </w:rPr>
        <w:t>th</w:t>
      </w:r>
      <w:r w:rsidRPr="00CB4557">
        <w:rPr>
          <w:rFonts w:ascii="Times New Roman" w:hAnsi="Times New Roman" w:cs="Times New Roman"/>
          <w:sz w:val="20"/>
          <w:szCs w:val="20"/>
        </w:rPr>
        <w:t xml:space="preserve"> percentiles instead of 1</w:t>
      </w:r>
      <w:r w:rsidRPr="00CB4557">
        <w:rPr>
          <w:rFonts w:ascii="Times New Roman" w:hAnsi="Times New Roman" w:cs="Times New Roman"/>
          <w:sz w:val="20"/>
          <w:szCs w:val="20"/>
          <w:vertAlign w:val="superscript"/>
        </w:rPr>
        <w:t>st</w:t>
      </w:r>
      <w:r w:rsidRPr="00CB4557">
        <w:rPr>
          <w:rFonts w:ascii="Times New Roman" w:hAnsi="Times New Roman" w:cs="Times New Roman"/>
          <w:sz w:val="20"/>
          <w:szCs w:val="20"/>
        </w:rPr>
        <w:t xml:space="preserve"> and 95</w:t>
      </w:r>
      <w:r w:rsidRPr="00CB4557">
        <w:rPr>
          <w:rFonts w:ascii="Times New Roman" w:hAnsi="Times New Roman" w:cs="Times New Roman"/>
          <w:sz w:val="20"/>
          <w:szCs w:val="20"/>
          <w:vertAlign w:val="superscript"/>
        </w:rPr>
        <w:t>th</w:t>
      </w:r>
      <w:r w:rsidRPr="00CB4557">
        <w:rPr>
          <w:rFonts w:ascii="Times New Roman" w:hAnsi="Times New Roman" w:cs="Times New Roman"/>
          <w:sz w:val="20"/>
          <w:szCs w:val="20"/>
        </w:rPr>
        <w:t xml:space="preserve"> percentiles</w:t>
      </w:r>
      <w:r>
        <w:rPr>
          <w:rFonts w:ascii="Times New Roman" w:hAnsi="Times New Roman" w:cs="Times New Roman"/>
        </w:rPr>
        <w:t>.</w:t>
      </w:r>
    </w:p>
  </w:footnote>
  <w:footnote w:id="17">
    <w:p w:rsidR="00634EF3" w:rsidRDefault="00634EF3" w:rsidP="00944BB1">
      <w:pPr>
        <w:pStyle w:val="FootnoteText"/>
        <w:jc w:val="both"/>
      </w:pPr>
      <w:r w:rsidRPr="004779E2">
        <w:rPr>
          <w:rStyle w:val="FootnoteReference"/>
        </w:rPr>
        <w:footnoteRef/>
      </w:r>
      <w:r w:rsidRPr="009E44F5">
        <w:rPr>
          <w:rFonts w:ascii="Times New Roman" w:hAnsi="Times New Roman" w:cs="Times New Roman"/>
        </w:rPr>
        <w:t xml:space="preserve"> </w:t>
      </w:r>
      <w:r>
        <w:rPr>
          <w:rFonts w:ascii="Times New Roman" w:hAnsi="Times New Roman" w:cs="Times New Roman"/>
        </w:rPr>
        <w:t xml:space="preserve">Compensation data for </w:t>
      </w:r>
      <w:r w:rsidRPr="009E44F5">
        <w:rPr>
          <w:rFonts w:ascii="Times New Roman" w:hAnsi="Times New Roman" w:cs="Times New Roman"/>
        </w:rPr>
        <w:t>120 of these firm-year</w:t>
      </w:r>
      <w:r>
        <w:rPr>
          <w:rFonts w:ascii="Times New Roman" w:hAnsi="Times New Roman" w:cs="Times New Roman"/>
        </w:rPr>
        <w:t xml:space="preserve"> observations is</w:t>
      </w:r>
      <w:r w:rsidRPr="009E44F5">
        <w:rPr>
          <w:rFonts w:ascii="Times New Roman" w:hAnsi="Times New Roman" w:cs="Times New Roman"/>
        </w:rPr>
        <w:t xml:space="preserve"> from </w:t>
      </w:r>
      <w:proofErr w:type="spellStart"/>
      <w:r>
        <w:rPr>
          <w:rFonts w:ascii="Times New Roman" w:hAnsi="Times New Roman" w:cs="Times New Roman"/>
        </w:rPr>
        <w:t>ExecuComp</w:t>
      </w:r>
      <w:proofErr w:type="spellEnd"/>
      <w:r>
        <w:rPr>
          <w:rFonts w:ascii="Times New Roman" w:hAnsi="Times New Roman" w:cs="Times New Roman"/>
        </w:rPr>
        <w:t>.</w:t>
      </w:r>
      <w:r w:rsidRPr="009E44F5">
        <w:rPr>
          <w:rFonts w:ascii="Times New Roman" w:hAnsi="Times New Roman" w:cs="Times New Roman"/>
        </w:rPr>
        <w:t xml:space="preserve"> </w:t>
      </w:r>
      <w:r>
        <w:rPr>
          <w:rFonts w:ascii="Times New Roman" w:hAnsi="Times New Roman" w:cs="Times New Roman"/>
        </w:rPr>
        <w:t xml:space="preserve">We hand-collect compensation data for </w:t>
      </w:r>
      <w:r w:rsidRPr="009E44F5">
        <w:rPr>
          <w:rFonts w:ascii="Times New Roman" w:hAnsi="Times New Roman" w:cs="Times New Roman"/>
        </w:rPr>
        <w:t>the remaining 34 firm-year observations from proxy statements.</w:t>
      </w:r>
      <w:r>
        <w:t xml:space="preserve"> </w:t>
      </w:r>
    </w:p>
  </w:footnote>
  <w:footnote w:id="18">
    <w:p w:rsidR="00634EF3" w:rsidRPr="00E70F1C" w:rsidRDefault="00634EF3" w:rsidP="00E70F1C">
      <w:pPr>
        <w:pStyle w:val="FootnoteText"/>
        <w:jc w:val="both"/>
        <w:rPr>
          <w:rFonts w:ascii="Times New Roman" w:hAnsi="Times New Roman" w:cs="Times New Roman"/>
        </w:rPr>
      </w:pPr>
      <w:r>
        <w:rPr>
          <w:rStyle w:val="FootnoteReference"/>
        </w:rPr>
        <w:footnoteRef/>
      </w:r>
      <w:r>
        <w:t xml:space="preserve"> </w:t>
      </w:r>
      <w:proofErr w:type="spellStart"/>
      <w:r w:rsidRPr="00E70F1C">
        <w:rPr>
          <w:rFonts w:ascii="Times New Roman" w:hAnsi="Times New Roman" w:cs="Times New Roman"/>
        </w:rPr>
        <w:t>Aboody</w:t>
      </w:r>
      <w:proofErr w:type="spellEnd"/>
      <w:r w:rsidRPr="00E70F1C">
        <w:rPr>
          <w:rFonts w:ascii="Times New Roman" w:hAnsi="Times New Roman" w:cs="Times New Roman"/>
        </w:rPr>
        <w:t xml:space="preserve">, Barth, and </w:t>
      </w:r>
      <w:proofErr w:type="spellStart"/>
      <w:r w:rsidRPr="00E70F1C">
        <w:rPr>
          <w:rFonts w:ascii="Times New Roman" w:hAnsi="Times New Roman" w:cs="Times New Roman"/>
        </w:rPr>
        <w:t>Kasznik</w:t>
      </w:r>
      <w:proofErr w:type="spellEnd"/>
      <w:r w:rsidRPr="00E70F1C">
        <w:rPr>
          <w:rFonts w:ascii="Times New Roman" w:hAnsi="Times New Roman" w:cs="Times New Roman"/>
        </w:rPr>
        <w:t xml:space="preserve"> (2004) investigate firms’ decisions to voluntarily adopt fair-value method for accounting of compensation expense. Their results show that firms that adopt FAS 123R prior to 2005 vary along several dimensions such as the extent of participation in the capital markets, the private incentives of executives and the board of directors and the level of information asymmetry. If these differences are correlated with hedging outcomes it could bias our results.</w:t>
      </w:r>
      <w:r>
        <w:rPr>
          <w:rFonts w:ascii="Times New Roman" w:hAnsi="Times New Roman" w:cs="Times New Roman"/>
        </w:rPr>
        <w:t xml:space="preserve"> However, we feel that this is unlikely to be an issue in our study. This is because our analysis centers on one industry and our firms are therefore more homogenous along these dimensions compared to the firms in </w:t>
      </w:r>
      <w:proofErr w:type="spellStart"/>
      <w:r>
        <w:rPr>
          <w:rFonts w:ascii="Times New Roman" w:hAnsi="Times New Roman" w:cs="Times New Roman"/>
        </w:rPr>
        <w:t>Aboody</w:t>
      </w:r>
      <w:proofErr w:type="spellEnd"/>
      <w:r>
        <w:rPr>
          <w:rFonts w:ascii="Times New Roman" w:hAnsi="Times New Roman" w:cs="Times New Roman"/>
        </w:rPr>
        <w:t xml:space="preserve"> et al. (2004)</w:t>
      </w:r>
      <w:r w:rsidRPr="00E70F1C">
        <w:rPr>
          <w:rFonts w:ascii="Times New Roman" w:hAnsi="Times New Roman" w:cs="Times New Roman"/>
        </w:rPr>
        <w:t>.</w:t>
      </w:r>
      <w:r>
        <w:rPr>
          <w:rFonts w:ascii="Times New Roman" w:hAnsi="Times New Roman" w:cs="Times New Roman"/>
        </w:rPr>
        <w:t xml:space="preserve"> </w:t>
      </w:r>
      <w:r w:rsidRPr="00E70F1C">
        <w:rPr>
          <w:rFonts w:ascii="Times New Roman" w:hAnsi="Times New Roman" w:cs="Times New Roman"/>
        </w:rPr>
        <w:t xml:space="preserve"> </w:t>
      </w:r>
    </w:p>
  </w:footnote>
  <w:footnote w:id="19">
    <w:p w:rsidR="00634EF3" w:rsidRDefault="00634EF3" w:rsidP="00034653">
      <w:pPr>
        <w:pStyle w:val="FootnoteText"/>
        <w:jc w:val="both"/>
      </w:pPr>
      <w:r w:rsidRPr="006A08EB">
        <w:rPr>
          <w:rFonts w:ascii="Times New Roman" w:hAnsi="Times New Roman" w:cs="Times New Roman"/>
          <w:vertAlign w:val="superscript"/>
        </w:rPr>
        <w:footnoteRef/>
      </w:r>
      <w:r w:rsidRPr="006A08EB">
        <w:rPr>
          <w:rFonts w:ascii="Times New Roman" w:hAnsi="Times New Roman" w:cs="Times New Roman"/>
        </w:rPr>
        <w:t xml:space="preserve"> We also compare firm-characteristics in just the pre-treatment period for both control groups and treated groups to make sure that prior to the regulation change the two groups are similar. The results are largely unchanged.</w:t>
      </w:r>
      <w:r>
        <w:t xml:space="preserve"> </w:t>
      </w:r>
    </w:p>
  </w:footnote>
  <w:footnote w:id="20">
    <w:p w:rsidR="00634EF3" w:rsidRPr="006A08EB" w:rsidRDefault="00634EF3" w:rsidP="00DD1262">
      <w:pPr>
        <w:autoSpaceDE w:val="0"/>
        <w:autoSpaceDN w:val="0"/>
        <w:adjustRightInd w:val="0"/>
        <w:spacing w:after="0" w:line="240" w:lineRule="auto"/>
        <w:jc w:val="both"/>
        <w:rPr>
          <w:rFonts w:ascii="Times New Roman" w:hAnsi="Times New Roman" w:cs="Times New Roman"/>
          <w:sz w:val="20"/>
          <w:szCs w:val="20"/>
        </w:rPr>
      </w:pPr>
      <w:r w:rsidRPr="002051E3">
        <w:rPr>
          <w:rStyle w:val="FootnoteReference"/>
          <w:rFonts w:ascii="Times New Roman" w:hAnsi="Times New Roman" w:cs="Times New Roman"/>
          <w:sz w:val="20"/>
          <w:szCs w:val="20"/>
        </w:rPr>
        <w:footnoteRef/>
      </w:r>
      <w:r w:rsidRPr="002051E3">
        <w:rPr>
          <w:rFonts w:ascii="Times New Roman" w:hAnsi="Times New Roman" w:cs="Times New Roman"/>
          <w:sz w:val="20"/>
          <w:szCs w:val="20"/>
        </w:rPr>
        <w:t xml:space="preserve"> Our results are robust to changing the horizons of the </w:t>
      </w:r>
      <w:r>
        <w:rPr>
          <w:rFonts w:ascii="Times New Roman" w:hAnsi="Times New Roman" w:cs="Times New Roman"/>
          <w:sz w:val="20"/>
          <w:szCs w:val="20"/>
        </w:rPr>
        <w:t xml:space="preserve">pre-and post-treatment periods. </w:t>
      </w:r>
      <w:r w:rsidRPr="002051E3">
        <w:rPr>
          <w:rFonts w:ascii="Times New Roman" w:hAnsi="Times New Roman" w:cs="Times New Roman"/>
          <w:sz w:val="20"/>
          <w:szCs w:val="20"/>
        </w:rPr>
        <w:t>However, by making the pre-treatment period longer (e.g., 3 years) the number of firms which did not grant any options to their CEOs in that p</w:t>
      </w:r>
      <w:r>
        <w:rPr>
          <w:rFonts w:ascii="Times New Roman" w:hAnsi="Times New Roman" w:cs="Times New Roman"/>
          <w:sz w:val="20"/>
          <w:szCs w:val="20"/>
        </w:rPr>
        <w:t xml:space="preserve">eriod drops significantly which leads to the first control group being small and more different than the treated group. </w:t>
      </w:r>
    </w:p>
  </w:footnote>
  <w:footnote w:id="21">
    <w:p w:rsidR="00634EF3" w:rsidRDefault="00634EF3" w:rsidP="00B95AFB">
      <w:pPr>
        <w:pStyle w:val="FootnoteText"/>
        <w:jc w:val="both"/>
      </w:pPr>
      <w:r>
        <w:rPr>
          <w:rStyle w:val="FootnoteReference"/>
        </w:rPr>
        <w:footnoteRef/>
      </w:r>
      <w:r>
        <w:t xml:space="preserve"> </w:t>
      </w:r>
      <w:r w:rsidRPr="009D6443">
        <w:rPr>
          <w:rFonts w:ascii="Times New Roman" w:hAnsi="Times New Roman" w:cs="Times New Roman"/>
        </w:rPr>
        <w:t xml:space="preserve">In unreported results we repeat this regression substituting the ratio of option pay to total pay for </w:t>
      </w:r>
      <w:proofErr w:type="spellStart"/>
      <w:proofErr w:type="gramStart"/>
      <w:r w:rsidRPr="009D6443">
        <w:rPr>
          <w:rFonts w:ascii="Times New Roman" w:hAnsi="Times New Roman" w:cs="Times New Roman"/>
        </w:rPr>
        <w:t>vega</w:t>
      </w:r>
      <w:proofErr w:type="spellEnd"/>
      <w:proofErr w:type="gramEnd"/>
      <w:r w:rsidRPr="009D6443">
        <w:rPr>
          <w:rFonts w:ascii="Times New Roman" w:hAnsi="Times New Roman" w:cs="Times New Roman"/>
        </w:rPr>
        <w:t>. We find that FAS 123R significantly reduced option pay for treated firms.</w:t>
      </w:r>
      <w:r>
        <w:t xml:space="preserve"> </w:t>
      </w:r>
    </w:p>
  </w:footnote>
  <w:footnote w:id="22">
    <w:p w:rsidR="00634EF3" w:rsidRDefault="00634EF3" w:rsidP="00DD1262">
      <w:pPr>
        <w:pStyle w:val="FootnoteText"/>
        <w:jc w:val="both"/>
      </w:pPr>
      <w:r w:rsidRPr="00FD2081">
        <w:rPr>
          <w:rStyle w:val="FootnoteReference"/>
        </w:rPr>
        <w:footnoteRef/>
      </w:r>
      <w:r w:rsidRPr="00FD2081">
        <w:rPr>
          <w:rFonts w:ascii="Times New Roman" w:hAnsi="Times New Roman" w:cs="Times New Roman"/>
        </w:rPr>
        <w:t xml:space="preserve"> These result</w:t>
      </w:r>
      <w:r>
        <w:rPr>
          <w:rFonts w:ascii="Times New Roman" w:hAnsi="Times New Roman" w:cs="Times New Roman"/>
        </w:rPr>
        <w:t xml:space="preserve">s are consistent with Carter et </w:t>
      </w:r>
      <w:r w:rsidRPr="00FD2081">
        <w:rPr>
          <w:rFonts w:ascii="Times New Roman" w:hAnsi="Times New Roman" w:cs="Times New Roman"/>
        </w:rPr>
        <w:t>al</w:t>
      </w:r>
      <w:r>
        <w:rPr>
          <w:rFonts w:ascii="Times New Roman" w:hAnsi="Times New Roman" w:cs="Times New Roman"/>
        </w:rPr>
        <w:t>.</w:t>
      </w:r>
      <w:r w:rsidRPr="00FD2081">
        <w:rPr>
          <w:rFonts w:ascii="Times New Roman" w:hAnsi="Times New Roman" w:cs="Times New Roman"/>
        </w:rPr>
        <w:t xml:space="preserve"> (2007) and Lemmon et</w:t>
      </w:r>
      <w:r>
        <w:rPr>
          <w:rFonts w:ascii="Times New Roman" w:hAnsi="Times New Roman" w:cs="Times New Roman"/>
        </w:rPr>
        <w:t xml:space="preserve"> </w:t>
      </w:r>
      <w:r w:rsidRPr="00FD2081">
        <w:rPr>
          <w:rFonts w:ascii="Times New Roman" w:hAnsi="Times New Roman" w:cs="Times New Roman"/>
        </w:rPr>
        <w:t>al</w:t>
      </w:r>
      <w:r>
        <w:rPr>
          <w:rFonts w:ascii="Times New Roman" w:hAnsi="Times New Roman" w:cs="Times New Roman"/>
        </w:rPr>
        <w:t>.</w:t>
      </w:r>
      <w:r w:rsidRPr="00FD2081">
        <w:rPr>
          <w:rFonts w:ascii="Times New Roman" w:hAnsi="Times New Roman" w:cs="Times New Roman"/>
        </w:rPr>
        <w:t xml:space="preserve"> (2012) wh</w:t>
      </w:r>
      <w:r>
        <w:rPr>
          <w:rFonts w:ascii="Times New Roman" w:hAnsi="Times New Roman" w:cs="Times New Roman"/>
        </w:rPr>
        <w:t>o</w:t>
      </w:r>
      <w:r w:rsidRPr="00FD2081">
        <w:rPr>
          <w:rFonts w:ascii="Times New Roman" w:hAnsi="Times New Roman" w:cs="Times New Roman"/>
        </w:rPr>
        <w:t xml:space="preserve"> show that financial reporting costs play an important role on the design of executive compensation contracts.</w:t>
      </w:r>
      <w:r>
        <w:t xml:space="preserve"> </w:t>
      </w:r>
    </w:p>
  </w:footnote>
  <w:footnote w:id="23">
    <w:p w:rsidR="00634EF3" w:rsidRPr="00D54BDC" w:rsidRDefault="00634EF3" w:rsidP="00B95AFB">
      <w:pPr>
        <w:autoSpaceDE w:val="0"/>
        <w:autoSpaceDN w:val="0"/>
        <w:adjustRightInd w:val="0"/>
        <w:spacing w:after="0" w:line="240" w:lineRule="auto"/>
        <w:jc w:val="both"/>
        <w:rPr>
          <w:rFonts w:ascii="Times New Roman" w:eastAsia="Times New Roman" w:hAnsi="Times New Roman" w:cs="Times New Roman"/>
        </w:rPr>
      </w:pPr>
      <w:r>
        <w:rPr>
          <w:rStyle w:val="FootnoteReference"/>
        </w:rPr>
        <w:footnoteRef/>
      </w:r>
      <w:r>
        <w:t xml:space="preserve"> </w:t>
      </w:r>
      <w:r>
        <w:rPr>
          <w:rFonts w:ascii="Times New Roman" w:eastAsia="Times New Roman" w:hAnsi="Times New Roman" w:cs="Times New Roman"/>
          <w:sz w:val="20"/>
          <w:szCs w:val="20"/>
        </w:rPr>
        <w:t>T</w:t>
      </w:r>
      <w:r w:rsidRPr="00D54BDC">
        <w:rPr>
          <w:rFonts w:ascii="Times New Roman" w:eastAsia="Times New Roman" w:hAnsi="Times New Roman" w:cs="Times New Roman"/>
          <w:sz w:val="20"/>
          <w:szCs w:val="20"/>
        </w:rPr>
        <w:t>his type of falsi</w:t>
      </w:r>
      <w:r w:rsidR="002655C2">
        <w:rPr>
          <w:rFonts w:ascii="Times New Roman" w:eastAsia="Times New Roman" w:hAnsi="Times New Roman" w:cs="Times New Roman"/>
          <w:sz w:val="20"/>
          <w:szCs w:val="20"/>
        </w:rPr>
        <w:t>fication test is recommended in the s</w:t>
      </w:r>
      <w:r w:rsidRPr="00D54BDC">
        <w:rPr>
          <w:rFonts w:ascii="Times New Roman" w:eastAsia="Times New Roman" w:hAnsi="Times New Roman" w:cs="Times New Roman"/>
          <w:sz w:val="20"/>
          <w:szCs w:val="20"/>
        </w:rPr>
        <w:t xml:space="preserve">urvey paper by Roberts and Whited (2012). </w:t>
      </w:r>
    </w:p>
  </w:footnote>
  <w:footnote w:id="24">
    <w:p w:rsidR="00634EF3" w:rsidRPr="00B95AFB" w:rsidRDefault="00634EF3" w:rsidP="00B95AFB">
      <w:pPr>
        <w:autoSpaceDE w:val="0"/>
        <w:autoSpaceDN w:val="0"/>
        <w:adjustRightInd w:val="0"/>
        <w:spacing w:after="0" w:line="240" w:lineRule="auto"/>
        <w:jc w:val="both"/>
        <w:rPr>
          <w:rFonts w:ascii="Times New Roman" w:eastAsia="Times New Roman" w:hAnsi="Times New Roman" w:cs="Times New Roman"/>
          <w:sz w:val="20"/>
          <w:szCs w:val="20"/>
        </w:rPr>
      </w:pPr>
      <w:r w:rsidRPr="006A08EB">
        <w:rPr>
          <w:rStyle w:val="FootnoteReference"/>
        </w:rPr>
        <w:footnoteRef/>
      </w:r>
      <w:r>
        <w:t xml:space="preserve"> </w:t>
      </w:r>
      <w:r w:rsidRPr="006A08EB">
        <w:rPr>
          <w:rFonts w:ascii="Times New Roman" w:hAnsi="Times New Roman" w:cs="Times New Roman"/>
          <w:sz w:val="20"/>
          <w:szCs w:val="20"/>
        </w:rPr>
        <w:t xml:space="preserve">Arguably CFOs rather than CEOs could be in charge of corporate risk management. </w:t>
      </w:r>
      <w:r>
        <w:rPr>
          <w:rFonts w:ascii="Times New Roman" w:hAnsi="Times New Roman" w:cs="Times New Roman"/>
          <w:sz w:val="20"/>
          <w:szCs w:val="20"/>
        </w:rPr>
        <w:t>Therefore, i</w:t>
      </w:r>
      <w:r w:rsidRPr="006A08EB">
        <w:rPr>
          <w:rFonts w:ascii="Times New Roman" w:hAnsi="Times New Roman" w:cs="Times New Roman"/>
          <w:sz w:val="20"/>
          <w:szCs w:val="20"/>
        </w:rPr>
        <w:t xml:space="preserve">t is important to note that </w:t>
      </w:r>
      <w:r>
        <w:rPr>
          <w:rFonts w:ascii="Times New Roman" w:hAnsi="Times New Roman" w:cs="Times New Roman"/>
          <w:sz w:val="20"/>
          <w:szCs w:val="20"/>
        </w:rPr>
        <w:t>FAS 123R</w:t>
      </w:r>
      <w:r w:rsidRPr="006A08EB">
        <w:rPr>
          <w:rFonts w:ascii="Times New Roman" w:hAnsi="Times New Roman" w:cs="Times New Roman"/>
          <w:sz w:val="20"/>
          <w:szCs w:val="20"/>
        </w:rPr>
        <w:t xml:space="preserve"> had similar </w:t>
      </w:r>
      <w:proofErr w:type="gramStart"/>
      <w:r w:rsidRPr="006A08EB">
        <w:rPr>
          <w:rFonts w:ascii="Times New Roman" w:hAnsi="Times New Roman" w:cs="Times New Roman"/>
          <w:sz w:val="20"/>
          <w:szCs w:val="20"/>
        </w:rPr>
        <w:t>effect</w:t>
      </w:r>
      <w:proofErr w:type="gramEnd"/>
      <w:r w:rsidRPr="006A08EB">
        <w:rPr>
          <w:rFonts w:ascii="Times New Roman" w:hAnsi="Times New Roman" w:cs="Times New Roman"/>
          <w:sz w:val="20"/>
          <w:szCs w:val="20"/>
        </w:rPr>
        <w:t xml:space="preserve"> on other executives’ compensation packages. While in Table 2 we focus on CEO </w:t>
      </w:r>
      <w:proofErr w:type="spellStart"/>
      <w:proofErr w:type="gramStart"/>
      <w:r w:rsidRPr="006A08EB">
        <w:rPr>
          <w:rFonts w:ascii="Times New Roman" w:hAnsi="Times New Roman" w:cs="Times New Roman"/>
          <w:sz w:val="20"/>
          <w:szCs w:val="20"/>
        </w:rPr>
        <w:t>vega</w:t>
      </w:r>
      <w:proofErr w:type="spellEnd"/>
      <w:proofErr w:type="gramEnd"/>
      <w:r w:rsidRPr="006A08EB">
        <w:rPr>
          <w:rFonts w:ascii="Times New Roman" w:hAnsi="Times New Roman" w:cs="Times New Roman"/>
          <w:sz w:val="20"/>
          <w:szCs w:val="20"/>
        </w:rPr>
        <w:t xml:space="preserve">, in </w:t>
      </w:r>
      <w:proofErr w:type="spellStart"/>
      <w:r w:rsidRPr="006A08EB">
        <w:rPr>
          <w:rFonts w:ascii="Times New Roman" w:hAnsi="Times New Roman" w:cs="Times New Roman"/>
          <w:sz w:val="20"/>
          <w:szCs w:val="20"/>
        </w:rPr>
        <w:t>untabulated</w:t>
      </w:r>
      <w:proofErr w:type="spellEnd"/>
      <w:r w:rsidRPr="006A08EB">
        <w:rPr>
          <w:rFonts w:ascii="Times New Roman" w:hAnsi="Times New Roman" w:cs="Times New Roman"/>
          <w:sz w:val="20"/>
          <w:szCs w:val="20"/>
        </w:rPr>
        <w:t xml:space="preserve"> results we find that CFO </w:t>
      </w:r>
      <w:proofErr w:type="spellStart"/>
      <w:r w:rsidRPr="006A08EB">
        <w:rPr>
          <w:rFonts w:ascii="Times New Roman" w:hAnsi="Times New Roman" w:cs="Times New Roman"/>
          <w:sz w:val="20"/>
          <w:szCs w:val="20"/>
        </w:rPr>
        <w:t>vegas</w:t>
      </w:r>
      <w:proofErr w:type="spellEnd"/>
      <w:r w:rsidRPr="006A08EB">
        <w:rPr>
          <w:rFonts w:ascii="Times New Roman" w:hAnsi="Times New Roman" w:cs="Times New Roman"/>
          <w:sz w:val="20"/>
          <w:szCs w:val="20"/>
        </w:rPr>
        <w:t xml:space="preserve"> also drop post-FAS 123R. Nevertheless, the results in Table 3 captures the effect of changes in not only CEO </w:t>
      </w:r>
      <w:proofErr w:type="spellStart"/>
      <w:proofErr w:type="gramStart"/>
      <w:r w:rsidRPr="006A08EB">
        <w:rPr>
          <w:rFonts w:ascii="Times New Roman" w:hAnsi="Times New Roman" w:cs="Times New Roman"/>
          <w:sz w:val="20"/>
          <w:szCs w:val="20"/>
        </w:rPr>
        <w:t>vega</w:t>
      </w:r>
      <w:proofErr w:type="spellEnd"/>
      <w:proofErr w:type="gramEnd"/>
      <w:r w:rsidRPr="006A08EB">
        <w:rPr>
          <w:rFonts w:ascii="Times New Roman" w:hAnsi="Times New Roman" w:cs="Times New Roman"/>
          <w:sz w:val="20"/>
          <w:szCs w:val="20"/>
        </w:rPr>
        <w:t xml:space="preserve"> but also in other executives </w:t>
      </w:r>
      <w:proofErr w:type="spellStart"/>
      <w:r w:rsidRPr="006A08EB">
        <w:rPr>
          <w:rFonts w:ascii="Times New Roman" w:hAnsi="Times New Roman" w:cs="Times New Roman"/>
          <w:sz w:val="20"/>
          <w:szCs w:val="20"/>
        </w:rPr>
        <w:t>vega</w:t>
      </w:r>
      <w:proofErr w:type="spellEnd"/>
      <w:r w:rsidRPr="006A08EB">
        <w:rPr>
          <w:rFonts w:ascii="Times New Roman" w:hAnsi="Times New Roman" w:cs="Times New Roman"/>
          <w:sz w:val="20"/>
          <w:szCs w:val="20"/>
        </w:rPr>
        <w:t xml:space="preserve"> on firm hedging activities.</w:t>
      </w:r>
      <w:r>
        <w:rPr>
          <w:rFonts w:ascii="Times New Roman" w:eastAsia="Times New Roman" w:hAnsi="Times New Roman" w:cs="Times New Roman"/>
          <w:sz w:val="20"/>
          <w:szCs w:val="20"/>
        </w:rPr>
        <w:t xml:space="preserve"> </w:t>
      </w:r>
    </w:p>
  </w:footnote>
  <w:footnote w:id="25">
    <w:p w:rsidR="00634EF3" w:rsidRDefault="00634EF3" w:rsidP="00034653">
      <w:pPr>
        <w:pStyle w:val="FootnoteText"/>
        <w:jc w:val="both"/>
      </w:pPr>
      <w:r w:rsidRPr="00991376">
        <w:rPr>
          <w:rStyle w:val="FootnoteReference"/>
          <w:rFonts w:ascii="Times New Roman" w:hAnsi="Times New Roman" w:cs="Times New Roman"/>
        </w:rPr>
        <w:footnoteRef/>
      </w:r>
      <w:r w:rsidRPr="00991376">
        <w:rPr>
          <w:rFonts w:ascii="Times New Roman" w:hAnsi="Times New Roman" w:cs="Times New Roman"/>
        </w:rPr>
        <w:t xml:space="preserve"> In </w:t>
      </w:r>
      <w:proofErr w:type="spellStart"/>
      <w:r w:rsidRPr="00991376">
        <w:rPr>
          <w:rFonts w:ascii="Times New Roman" w:hAnsi="Times New Roman" w:cs="Times New Roman"/>
        </w:rPr>
        <w:t>untabulated</w:t>
      </w:r>
      <w:proofErr w:type="spellEnd"/>
      <w:r w:rsidRPr="00991376">
        <w:rPr>
          <w:rFonts w:ascii="Times New Roman" w:hAnsi="Times New Roman" w:cs="Times New Roman"/>
        </w:rPr>
        <w:t xml:space="preserve"> results we </w:t>
      </w:r>
      <w:r>
        <w:rPr>
          <w:rFonts w:ascii="Times New Roman" w:hAnsi="Times New Roman" w:cs="Times New Roman"/>
        </w:rPr>
        <w:t xml:space="preserve">examine </w:t>
      </w:r>
      <w:r w:rsidRPr="00991376">
        <w:rPr>
          <w:rFonts w:ascii="Times New Roman" w:hAnsi="Times New Roman" w:cs="Times New Roman"/>
        </w:rPr>
        <w:t>different specifications for the control variables and find that our results are largely unchanged.</w:t>
      </w:r>
    </w:p>
  </w:footnote>
  <w:footnote w:id="26">
    <w:p w:rsidR="00634EF3" w:rsidRPr="00991376" w:rsidRDefault="00634EF3" w:rsidP="00034653">
      <w:pPr>
        <w:pStyle w:val="FootnoteText"/>
        <w:jc w:val="both"/>
      </w:pPr>
      <w:r w:rsidRPr="009E44F5">
        <w:rPr>
          <w:rStyle w:val="FootnoteReference"/>
          <w:rFonts w:ascii="Times New Roman" w:hAnsi="Times New Roman" w:cs="Times New Roman"/>
        </w:rPr>
        <w:footnoteRef/>
      </w:r>
      <w:r w:rsidRPr="009E44F5">
        <w:rPr>
          <w:rFonts w:ascii="Times New Roman" w:hAnsi="Times New Roman" w:cs="Times New Roman"/>
        </w:rPr>
        <w:t xml:space="preserve"> The</w:t>
      </w:r>
      <w:r w:rsidRPr="00991376">
        <w:t xml:space="preserve"> </w:t>
      </w:r>
      <w:r w:rsidRPr="00991376">
        <w:rPr>
          <w:rFonts w:ascii="Times New Roman" w:hAnsi="Times New Roman" w:cs="Times New Roman"/>
        </w:rPr>
        <w:t>figures are based on average monthly standard deviation</w:t>
      </w:r>
      <w:r>
        <w:rPr>
          <w:rFonts w:ascii="Times New Roman" w:hAnsi="Times New Roman" w:cs="Times New Roman"/>
        </w:rPr>
        <w:t>s</w:t>
      </w:r>
      <w:r w:rsidRPr="00991376">
        <w:rPr>
          <w:rFonts w:ascii="Times New Roman" w:hAnsi="Times New Roman" w:cs="Times New Roman"/>
        </w:rPr>
        <w:t xml:space="preserve"> of natural gas prices (dollars per thousand cubic feet) and oil prices (dollars per barrel).</w:t>
      </w:r>
      <w:r w:rsidRPr="00991376">
        <w:t xml:space="preserve"> </w:t>
      </w:r>
    </w:p>
  </w:footnote>
  <w:footnote w:id="27">
    <w:p w:rsidR="00634EF3" w:rsidRPr="009E44F5" w:rsidRDefault="00634EF3" w:rsidP="00B95AFB">
      <w:pPr>
        <w:pStyle w:val="FootnoteText"/>
        <w:jc w:val="both"/>
        <w:rPr>
          <w:rFonts w:ascii="Times New Roman" w:hAnsi="Times New Roman" w:cs="Times New Roman"/>
        </w:rPr>
      </w:pPr>
      <w:r w:rsidRPr="009E44F5">
        <w:rPr>
          <w:rStyle w:val="FootnoteReference"/>
          <w:rFonts w:ascii="Times New Roman" w:hAnsi="Times New Roman" w:cs="Times New Roman"/>
        </w:rPr>
        <w:footnoteRef/>
      </w:r>
      <w:r w:rsidRPr="009E44F5">
        <w:rPr>
          <w:rFonts w:ascii="Times New Roman" w:hAnsi="Times New Roman" w:cs="Times New Roman"/>
        </w:rPr>
        <w:t xml:space="preserve"> Using control group 1 we find that the coefficient in the leverage regression is positive and significant at the 10% leve</w:t>
      </w:r>
      <w:r>
        <w:rPr>
          <w:rFonts w:ascii="Times New Roman" w:hAnsi="Times New Roman" w:cs="Times New Roman"/>
        </w:rPr>
        <w:t>l;</w:t>
      </w:r>
      <w:r w:rsidRPr="009E44F5">
        <w:rPr>
          <w:rFonts w:ascii="Times New Roman" w:hAnsi="Times New Roman" w:cs="Times New Roman"/>
        </w:rPr>
        <w:t xml:space="preserve"> however, the sign o</w:t>
      </w:r>
      <w:r>
        <w:rPr>
          <w:rFonts w:ascii="Times New Roman" w:hAnsi="Times New Roman" w:cs="Times New Roman"/>
        </w:rPr>
        <w:t>f</w:t>
      </w:r>
      <w:r w:rsidRPr="009E44F5">
        <w:rPr>
          <w:rFonts w:ascii="Times New Roman" w:hAnsi="Times New Roman" w:cs="Times New Roman"/>
        </w:rPr>
        <w:t xml:space="preserve"> the coefficient is opposite to what would be expected under our hypothesis.</w:t>
      </w:r>
    </w:p>
  </w:footnote>
  <w:footnote w:id="28">
    <w:p w:rsidR="00634EF3" w:rsidRDefault="00634EF3" w:rsidP="00B95AFB">
      <w:pPr>
        <w:pStyle w:val="FootnoteText"/>
        <w:jc w:val="both"/>
      </w:pPr>
      <w:r w:rsidRPr="009E44F5">
        <w:rPr>
          <w:rStyle w:val="FootnoteReference"/>
          <w:rFonts w:ascii="Times New Roman" w:hAnsi="Times New Roman" w:cs="Times New Roman"/>
        </w:rPr>
        <w:footnoteRef/>
      </w:r>
      <w:r w:rsidRPr="009E44F5">
        <w:rPr>
          <w:rFonts w:ascii="Times New Roman" w:hAnsi="Times New Roman" w:cs="Times New Roman"/>
        </w:rPr>
        <w:t xml:space="preserve"> In </w:t>
      </w:r>
      <w:proofErr w:type="spellStart"/>
      <w:r w:rsidRPr="009E44F5">
        <w:rPr>
          <w:rFonts w:ascii="Times New Roman" w:hAnsi="Times New Roman" w:cs="Times New Roman"/>
        </w:rPr>
        <w:t>untabulated</w:t>
      </w:r>
      <w:proofErr w:type="spellEnd"/>
      <w:r w:rsidRPr="009E44F5">
        <w:rPr>
          <w:rFonts w:ascii="Times New Roman" w:hAnsi="Times New Roman" w:cs="Times New Roman"/>
        </w:rPr>
        <w:t xml:space="preserve"> results we also run the exact first difference specification in Hayes et al</w:t>
      </w:r>
      <w:r>
        <w:rPr>
          <w:rFonts w:ascii="Times New Roman" w:hAnsi="Times New Roman" w:cs="Times New Roman"/>
        </w:rPr>
        <w:t>.</w:t>
      </w:r>
      <w:r w:rsidRPr="009E44F5">
        <w:rPr>
          <w:rFonts w:ascii="Times New Roman" w:hAnsi="Times New Roman" w:cs="Times New Roman"/>
        </w:rPr>
        <w:t xml:space="preserve"> (2012) and find similar results.</w:t>
      </w:r>
    </w:p>
  </w:footnote>
  <w:footnote w:id="29">
    <w:p w:rsidR="00634EF3" w:rsidRPr="00654E9E" w:rsidRDefault="00634EF3" w:rsidP="00F06CFF">
      <w:pPr>
        <w:pStyle w:val="FootnoteText"/>
        <w:keepLines/>
        <w:spacing w:after="60"/>
        <w:jc w:val="both"/>
        <w:rPr>
          <w:rFonts w:ascii="Times New Roman" w:hAnsi="Times New Roman" w:cs="Times New Roman"/>
        </w:rPr>
      </w:pPr>
      <w:r w:rsidRPr="00654E9E">
        <w:rPr>
          <w:rStyle w:val="FootnoteReference"/>
          <w:rFonts w:ascii="Times New Roman" w:hAnsi="Times New Roman" w:cs="Times New Roman"/>
        </w:rPr>
        <w:footnoteRef/>
      </w:r>
      <w:r w:rsidRPr="00654E9E">
        <w:rPr>
          <w:rFonts w:ascii="Times New Roman" w:hAnsi="Times New Roman" w:cs="Times New Roman"/>
        </w:rPr>
        <w:t xml:space="preserve"> Following the convention in previous studies, while all the delta and </w:t>
      </w:r>
      <w:proofErr w:type="spellStart"/>
      <w:proofErr w:type="gramStart"/>
      <w:r w:rsidRPr="00654E9E">
        <w:rPr>
          <w:rFonts w:ascii="Times New Roman" w:hAnsi="Times New Roman" w:cs="Times New Roman"/>
        </w:rPr>
        <w:t>vega</w:t>
      </w:r>
      <w:proofErr w:type="spellEnd"/>
      <w:proofErr w:type="gramEnd"/>
      <w:r w:rsidRPr="00654E9E">
        <w:rPr>
          <w:rFonts w:ascii="Times New Roman" w:hAnsi="Times New Roman" w:cs="Times New Roman"/>
        </w:rPr>
        <w:t xml:space="preserve"> measures we use in our analysis are aggregates over the executive’s entire holdings in the firm, we omit using the qualifier “aggregate” when referring to compensation deltas and </w:t>
      </w:r>
      <w:proofErr w:type="spellStart"/>
      <w:r w:rsidRPr="00654E9E">
        <w:rPr>
          <w:rFonts w:ascii="Times New Roman" w:hAnsi="Times New Roman" w:cs="Times New Roman"/>
        </w:rPr>
        <w:t>vegas</w:t>
      </w:r>
      <w:proofErr w:type="spellEnd"/>
      <w:r w:rsidRPr="00654E9E">
        <w:rPr>
          <w:rFonts w:ascii="Times New Roman" w:hAnsi="Times New Roman" w:cs="Times New Roman"/>
        </w:rPr>
        <w:t xml:space="preserve"> elsewhere in the paper.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61E0"/>
    <w:multiLevelType w:val="hybridMultilevel"/>
    <w:tmpl w:val="B1F8F414"/>
    <w:lvl w:ilvl="0" w:tplc="FB6CEEE6">
      <w:start w:val="2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A0940"/>
    <w:multiLevelType w:val="hybridMultilevel"/>
    <w:tmpl w:val="668C9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B24A5"/>
    <w:multiLevelType w:val="hybridMultilevel"/>
    <w:tmpl w:val="71E25B40"/>
    <w:lvl w:ilvl="0" w:tplc="0409000F">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nsid w:val="73624FA2"/>
    <w:multiLevelType w:val="hybridMultilevel"/>
    <w:tmpl w:val="2BB046F4"/>
    <w:lvl w:ilvl="0" w:tplc="8A2669B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749F1"/>
    <w:rsid w:val="000062A0"/>
    <w:rsid w:val="000114E9"/>
    <w:rsid w:val="00014436"/>
    <w:rsid w:val="000147D0"/>
    <w:rsid w:val="00015135"/>
    <w:rsid w:val="00015667"/>
    <w:rsid w:val="00024B22"/>
    <w:rsid w:val="00026712"/>
    <w:rsid w:val="0002729F"/>
    <w:rsid w:val="00031201"/>
    <w:rsid w:val="00032D23"/>
    <w:rsid w:val="00033CDC"/>
    <w:rsid w:val="0003403B"/>
    <w:rsid w:val="00034653"/>
    <w:rsid w:val="00034D23"/>
    <w:rsid w:val="00040543"/>
    <w:rsid w:val="0004086C"/>
    <w:rsid w:val="00040B75"/>
    <w:rsid w:val="000421D0"/>
    <w:rsid w:val="00043BDB"/>
    <w:rsid w:val="00043C92"/>
    <w:rsid w:val="0004788C"/>
    <w:rsid w:val="00050525"/>
    <w:rsid w:val="00052812"/>
    <w:rsid w:val="00053D5A"/>
    <w:rsid w:val="00063DE1"/>
    <w:rsid w:val="00064304"/>
    <w:rsid w:val="0007335A"/>
    <w:rsid w:val="00077493"/>
    <w:rsid w:val="00085B03"/>
    <w:rsid w:val="00087C4D"/>
    <w:rsid w:val="00087D09"/>
    <w:rsid w:val="00094AD6"/>
    <w:rsid w:val="000971FD"/>
    <w:rsid w:val="000A0385"/>
    <w:rsid w:val="000A3F0B"/>
    <w:rsid w:val="000A62C8"/>
    <w:rsid w:val="000B32F3"/>
    <w:rsid w:val="000C1EB0"/>
    <w:rsid w:val="000C683B"/>
    <w:rsid w:val="000D0C1D"/>
    <w:rsid w:val="000D36CC"/>
    <w:rsid w:val="000D59F9"/>
    <w:rsid w:val="000E21CB"/>
    <w:rsid w:val="000E2685"/>
    <w:rsid w:val="000E5CFE"/>
    <w:rsid w:val="000F02C8"/>
    <w:rsid w:val="000F112D"/>
    <w:rsid w:val="000F1FF7"/>
    <w:rsid w:val="000F3D35"/>
    <w:rsid w:val="000F474C"/>
    <w:rsid w:val="000F4C04"/>
    <w:rsid w:val="001042AB"/>
    <w:rsid w:val="001061C5"/>
    <w:rsid w:val="001101E5"/>
    <w:rsid w:val="00110FED"/>
    <w:rsid w:val="00126D4F"/>
    <w:rsid w:val="0012752A"/>
    <w:rsid w:val="00131AB7"/>
    <w:rsid w:val="00132942"/>
    <w:rsid w:val="00135134"/>
    <w:rsid w:val="00146B83"/>
    <w:rsid w:val="00156BE5"/>
    <w:rsid w:val="00156E44"/>
    <w:rsid w:val="00160E4B"/>
    <w:rsid w:val="00166AB0"/>
    <w:rsid w:val="001677C4"/>
    <w:rsid w:val="00180A70"/>
    <w:rsid w:val="001813E1"/>
    <w:rsid w:val="00182BFA"/>
    <w:rsid w:val="001A0E33"/>
    <w:rsid w:val="001A1155"/>
    <w:rsid w:val="001A560F"/>
    <w:rsid w:val="001A596F"/>
    <w:rsid w:val="001B191C"/>
    <w:rsid w:val="001B5204"/>
    <w:rsid w:val="001D1FC7"/>
    <w:rsid w:val="001E3D69"/>
    <w:rsid w:val="001E5272"/>
    <w:rsid w:val="001E6002"/>
    <w:rsid w:val="001E625C"/>
    <w:rsid w:val="001E69D3"/>
    <w:rsid w:val="001E75E7"/>
    <w:rsid w:val="001E76EF"/>
    <w:rsid w:val="001F20D2"/>
    <w:rsid w:val="001F6475"/>
    <w:rsid w:val="001F6D05"/>
    <w:rsid w:val="00202682"/>
    <w:rsid w:val="00204C5C"/>
    <w:rsid w:val="00204D96"/>
    <w:rsid w:val="002051E3"/>
    <w:rsid w:val="002055D8"/>
    <w:rsid w:val="00214C5A"/>
    <w:rsid w:val="002239E5"/>
    <w:rsid w:val="00232FA1"/>
    <w:rsid w:val="00241513"/>
    <w:rsid w:val="00246D3C"/>
    <w:rsid w:val="00250915"/>
    <w:rsid w:val="00255164"/>
    <w:rsid w:val="0025548A"/>
    <w:rsid w:val="00255CF4"/>
    <w:rsid w:val="002606C9"/>
    <w:rsid w:val="0026094D"/>
    <w:rsid w:val="00263B8C"/>
    <w:rsid w:val="00263BE2"/>
    <w:rsid w:val="002655C2"/>
    <w:rsid w:val="00270BEB"/>
    <w:rsid w:val="0027134C"/>
    <w:rsid w:val="00272AF4"/>
    <w:rsid w:val="00280895"/>
    <w:rsid w:val="00283799"/>
    <w:rsid w:val="002859E7"/>
    <w:rsid w:val="00287F1D"/>
    <w:rsid w:val="00292858"/>
    <w:rsid w:val="00293BDD"/>
    <w:rsid w:val="002C3C3D"/>
    <w:rsid w:val="002D6154"/>
    <w:rsid w:val="002E0607"/>
    <w:rsid w:val="002E451D"/>
    <w:rsid w:val="002E70C5"/>
    <w:rsid w:val="002F4E8F"/>
    <w:rsid w:val="003011C8"/>
    <w:rsid w:val="0030493E"/>
    <w:rsid w:val="00310453"/>
    <w:rsid w:val="0031070F"/>
    <w:rsid w:val="003131C5"/>
    <w:rsid w:val="00313644"/>
    <w:rsid w:val="003140C6"/>
    <w:rsid w:val="003149ED"/>
    <w:rsid w:val="0031521D"/>
    <w:rsid w:val="00317382"/>
    <w:rsid w:val="00320A3C"/>
    <w:rsid w:val="00346282"/>
    <w:rsid w:val="00352AE5"/>
    <w:rsid w:val="0035322F"/>
    <w:rsid w:val="00360D23"/>
    <w:rsid w:val="0036148A"/>
    <w:rsid w:val="00363894"/>
    <w:rsid w:val="003652B0"/>
    <w:rsid w:val="00367626"/>
    <w:rsid w:val="00374279"/>
    <w:rsid w:val="0037543C"/>
    <w:rsid w:val="00375ABD"/>
    <w:rsid w:val="0037608D"/>
    <w:rsid w:val="00382675"/>
    <w:rsid w:val="0038275D"/>
    <w:rsid w:val="00382EF9"/>
    <w:rsid w:val="00384D43"/>
    <w:rsid w:val="00397D5F"/>
    <w:rsid w:val="003A3C8A"/>
    <w:rsid w:val="003A6432"/>
    <w:rsid w:val="003B19E2"/>
    <w:rsid w:val="003B4AE6"/>
    <w:rsid w:val="003C045B"/>
    <w:rsid w:val="003C3226"/>
    <w:rsid w:val="003C6DD0"/>
    <w:rsid w:val="003D5457"/>
    <w:rsid w:val="003D6D00"/>
    <w:rsid w:val="003F0348"/>
    <w:rsid w:val="003F1AFA"/>
    <w:rsid w:val="003F4195"/>
    <w:rsid w:val="003F467E"/>
    <w:rsid w:val="003F46F6"/>
    <w:rsid w:val="00401303"/>
    <w:rsid w:val="004049A6"/>
    <w:rsid w:val="00405A24"/>
    <w:rsid w:val="004068AC"/>
    <w:rsid w:val="00416DB4"/>
    <w:rsid w:val="0042037E"/>
    <w:rsid w:val="00431EF3"/>
    <w:rsid w:val="00434BFD"/>
    <w:rsid w:val="0043577E"/>
    <w:rsid w:val="0044190F"/>
    <w:rsid w:val="004537D9"/>
    <w:rsid w:val="00461E2B"/>
    <w:rsid w:val="004634A9"/>
    <w:rsid w:val="004674B0"/>
    <w:rsid w:val="00470867"/>
    <w:rsid w:val="00477172"/>
    <w:rsid w:val="004779E2"/>
    <w:rsid w:val="004816B9"/>
    <w:rsid w:val="00490A6C"/>
    <w:rsid w:val="00491E19"/>
    <w:rsid w:val="00492AE7"/>
    <w:rsid w:val="0049377E"/>
    <w:rsid w:val="00497691"/>
    <w:rsid w:val="004976C0"/>
    <w:rsid w:val="004A113E"/>
    <w:rsid w:val="004A1434"/>
    <w:rsid w:val="004A7378"/>
    <w:rsid w:val="004A79E6"/>
    <w:rsid w:val="004B3670"/>
    <w:rsid w:val="004B4ABF"/>
    <w:rsid w:val="004C6901"/>
    <w:rsid w:val="004D5577"/>
    <w:rsid w:val="004E1AAE"/>
    <w:rsid w:val="004F109B"/>
    <w:rsid w:val="004F379A"/>
    <w:rsid w:val="0050144D"/>
    <w:rsid w:val="00506195"/>
    <w:rsid w:val="005066AF"/>
    <w:rsid w:val="00507148"/>
    <w:rsid w:val="00507AF4"/>
    <w:rsid w:val="005118FE"/>
    <w:rsid w:val="00513CA5"/>
    <w:rsid w:val="005144EB"/>
    <w:rsid w:val="00515783"/>
    <w:rsid w:val="00522FB7"/>
    <w:rsid w:val="005230B5"/>
    <w:rsid w:val="00523825"/>
    <w:rsid w:val="00523CA2"/>
    <w:rsid w:val="00526391"/>
    <w:rsid w:val="0052667E"/>
    <w:rsid w:val="00527D23"/>
    <w:rsid w:val="00530AD1"/>
    <w:rsid w:val="00531057"/>
    <w:rsid w:val="00533536"/>
    <w:rsid w:val="00533DC8"/>
    <w:rsid w:val="00534D38"/>
    <w:rsid w:val="00537DFB"/>
    <w:rsid w:val="005457A2"/>
    <w:rsid w:val="005468B8"/>
    <w:rsid w:val="00552458"/>
    <w:rsid w:val="005527B8"/>
    <w:rsid w:val="0055399B"/>
    <w:rsid w:val="00562559"/>
    <w:rsid w:val="005649B5"/>
    <w:rsid w:val="00565C31"/>
    <w:rsid w:val="0057215D"/>
    <w:rsid w:val="005823BD"/>
    <w:rsid w:val="00584230"/>
    <w:rsid w:val="0059534A"/>
    <w:rsid w:val="005A26E3"/>
    <w:rsid w:val="005A4611"/>
    <w:rsid w:val="005B0592"/>
    <w:rsid w:val="005B53CF"/>
    <w:rsid w:val="005B5A4D"/>
    <w:rsid w:val="005B5EC0"/>
    <w:rsid w:val="005B7ADB"/>
    <w:rsid w:val="005C39CE"/>
    <w:rsid w:val="005C4219"/>
    <w:rsid w:val="005C536C"/>
    <w:rsid w:val="005C571C"/>
    <w:rsid w:val="005C7D37"/>
    <w:rsid w:val="005D2A35"/>
    <w:rsid w:val="005D587B"/>
    <w:rsid w:val="005D5B8E"/>
    <w:rsid w:val="005D6356"/>
    <w:rsid w:val="005E2228"/>
    <w:rsid w:val="005E3744"/>
    <w:rsid w:val="005E41DA"/>
    <w:rsid w:val="005E489B"/>
    <w:rsid w:val="005E53E4"/>
    <w:rsid w:val="005E6663"/>
    <w:rsid w:val="005E6D11"/>
    <w:rsid w:val="005E7359"/>
    <w:rsid w:val="005F0811"/>
    <w:rsid w:val="00604BD5"/>
    <w:rsid w:val="006079E7"/>
    <w:rsid w:val="0061179F"/>
    <w:rsid w:val="00611B8E"/>
    <w:rsid w:val="0061441F"/>
    <w:rsid w:val="00615D46"/>
    <w:rsid w:val="00616C8C"/>
    <w:rsid w:val="00620C94"/>
    <w:rsid w:val="00622AB5"/>
    <w:rsid w:val="006236A1"/>
    <w:rsid w:val="006344CA"/>
    <w:rsid w:val="00634EF3"/>
    <w:rsid w:val="00637385"/>
    <w:rsid w:val="00641482"/>
    <w:rsid w:val="006442E9"/>
    <w:rsid w:val="00645E82"/>
    <w:rsid w:val="00645ECD"/>
    <w:rsid w:val="00647B71"/>
    <w:rsid w:val="00652486"/>
    <w:rsid w:val="00654E9E"/>
    <w:rsid w:val="0066086E"/>
    <w:rsid w:val="00661EEE"/>
    <w:rsid w:val="00663D62"/>
    <w:rsid w:val="0066469E"/>
    <w:rsid w:val="00667523"/>
    <w:rsid w:val="00670B0D"/>
    <w:rsid w:val="00675436"/>
    <w:rsid w:val="00677D21"/>
    <w:rsid w:val="00681942"/>
    <w:rsid w:val="0068213A"/>
    <w:rsid w:val="00687B16"/>
    <w:rsid w:val="0069245F"/>
    <w:rsid w:val="00696EAD"/>
    <w:rsid w:val="006A08EB"/>
    <w:rsid w:val="006A2E99"/>
    <w:rsid w:val="006A59B2"/>
    <w:rsid w:val="006A7973"/>
    <w:rsid w:val="006B7B93"/>
    <w:rsid w:val="006C145A"/>
    <w:rsid w:val="006C21DC"/>
    <w:rsid w:val="006D319F"/>
    <w:rsid w:val="006D5667"/>
    <w:rsid w:val="006D6FB4"/>
    <w:rsid w:val="006D73D4"/>
    <w:rsid w:val="006E0BF1"/>
    <w:rsid w:val="006E2A04"/>
    <w:rsid w:val="006E3ECE"/>
    <w:rsid w:val="006E6B1C"/>
    <w:rsid w:val="006F3C1B"/>
    <w:rsid w:val="006F642F"/>
    <w:rsid w:val="00700B12"/>
    <w:rsid w:val="00702B79"/>
    <w:rsid w:val="00702B9A"/>
    <w:rsid w:val="00704880"/>
    <w:rsid w:val="00711B3E"/>
    <w:rsid w:val="00716945"/>
    <w:rsid w:val="007210E6"/>
    <w:rsid w:val="00723864"/>
    <w:rsid w:val="00725723"/>
    <w:rsid w:val="007263D0"/>
    <w:rsid w:val="00726DF0"/>
    <w:rsid w:val="0072705B"/>
    <w:rsid w:val="00730500"/>
    <w:rsid w:val="007355AF"/>
    <w:rsid w:val="00740348"/>
    <w:rsid w:val="00745913"/>
    <w:rsid w:val="00745CB9"/>
    <w:rsid w:val="007604CB"/>
    <w:rsid w:val="007619CE"/>
    <w:rsid w:val="0078288C"/>
    <w:rsid w:val="00782B72"/>
    <w:rsid w:val="00782F4F"/>
    <w:rsid w:val="007841CA"/>
    <w:rsid w:val="007852AF"/>
    <w:rsid w:val="00787D45"/>
    <w:rsid w:val="0079069E"/>
    <w:rsid w:val="00792E9B"/>
    <w:rsid w:val="00795463"/>
    <w:rsid w:val="00795580"/>
    <w:rsid w:val="00795D49"/>
    <w:rsid w:val="007A13C0"/>
    <w:rsid w:val="007A25A6"/>
    <w:rsid w:val="007A33D4"/>
    <w:rsid w:val="007B261E"/>
    <w:rsid w:val="007B74DB"/>
    <w:rsid w:val="007C2C5E"/>
    <w:rsid w:val="007C312D"/>
    <w:rsid w:val="007C4E77"/>
    <w:rsid w:val="007C6FD3"/>
    <w:rsid w:val="007D12FA"/>
    <w:rsid w:val="007D172A"/>
    <w:rsid w:val="007E3769"/>
    <w:rsid w:val="007E41C9"/>
    <w:rsid w:val="007E53EE"/>
    <w:rsid w:val="007F2A1C"/>
    <w:rsid w:val="007F622D"/>
    <w:rsid w:val="00800FDF"/>
    <w:rsid w:val="00803959"/>
    <w:rsid w:val="00805CEF"/>
    <w:rsid w:val="008113D4"/>
    <w:rsid w:val="00823BB5"/>
    <w:rsid w:val="0082737C"/>
    <w:rsid w:val="0083191E"/>
    <w:rsid w:val="00834FC4"/>
    <w:rsid w:val="00834FEF"/>
    <w:rsid w:val="00841325"/>
    <w:rsid w:val="00842764"/>
    <w:rsid w:val="0084285C"/>
    <w:rsid w:val="008428C1"/>
    <w:rsid w:val="0084447A"/>
    <w:rsid w:val="008540B5"/>
    <w:rsid w:val="0086019D"/>
    <w:rsid w:val="00865C38"/>
    <w:rsid w:val="0087292B"/>
    <w:rsid w:val="00873E65"/>
    <w:rsid w:val="008926EF"/>
    <w:rsid w:val="00893828"/>
    <w:rsid w:val="008964A7"/>
    <w:rsid w:val="00897D02"/>
    <w:rsid w:val="008B09DC"/>
    <w:rsid w:val="008B122C"/>
    <w:rsid w:val="008B226F"/>
    <w:rsid w:val="008B5EC3"/>
    <w:rsid w:val="008C1B5B"/>
    <w:rsid w:val="008C1C43"/>
    <w:rsid w:val="008C5C8D"/>
    <w:rsid w:val="008D1697"/>
    <w:rsid w:val="008D1CFD"/>
    <w:rsid w:val="008E0039"/>
    <w:rsid w:val="008E4C02"/>
    <w:rsid w:val="008F36E6"/>
    <w:rsid w:val="008F3A5E"/>
    <w:rsid w:val="008F5738"/>
    <w:rsid w:val="008F669D"/>
    <w:rsid w:val="00906778"/>
    <w:rsid w:val="00910863"/>
    <w:rsid w:val="00917E29"/>
    <w:rsid w:val="009217D6"/>
    <w:rsid w:val="00927395"/>
    <w:rsid w:val="00931D54"/>
    <w:rsid w:val="009353D2"/>
    <w:rsid w:val="009401D7"/>
    <w:rsid w:val="009415CA"/>
    <w:rsid w:val="00944BB1"/>
    <w:rsid w:val="0094593E"/>
    <w:rsid w:val="00951A81"/>
    <w:rsid w:val="009575F2"/>
    <w:rsid w:val="0096387A"/>
    <w:rsid w:val="00963881"/>
    <w:rsid w:val="00964E68"/>
    <w:rsid w:val="00970254"/>
    <w:rsid w:val="00975A34"/>
    <w:rsid w:val="00976DFD"/>
    <w:rsid w:val="009832AF"/>
    <w:rsid w:val="009858E5"/>
    <w:rsid w:val="00991376"/>
    <w:rsid w:val="00991BA3"/>
    <w:rsid w:val="009A16AD"/>
    <w:rsid w:val="009A476C"/>
    <w:rsid w:val="009A5B23"/>
    <w:rsid w:val="009B1EEE"/>
    <w:rsid w:val="009B6301"/>
    <w:rsid w:val="009C3770"/>
    <w:rsid w:val="009C3B46"/>
    <w:rsid w:val="009C5D17"/>
    <w:rsid w:val="009D0387"/>
    <w:rsid w:val="009D1E73"/>
    <w:rsid w:val="009D2B0D"/>
    <w:rsid w:val="009D46C1"/>
    <w:rsid w:val="009D6443"/>
    <w:rsid w:val="009D6DD7"/>
    <w:rsid w:val="009D7AC7"/>
    <w:rsid w:val="009E017D"/>
    <w:rsid w:val="009E3571"/>
    <w:rsid w:val="009E4495"/>
    <w:rsid w:val="009E44F5"/>
    <w:rsid w:val="009F4947"/>
    <w:rsid w:val="009F4DD9"/>
    <w:rsid w:val="009F5BFB"/>
    <w:rsid w:val="009F5C71"/>
    <w:rsid w:val="00A07F0E"/>
    <w:rsid w:val="00A1446C"/>
    <w:rsid w:val="00A21742"/>
    <w:rsid w:val="00A26AC3"/>
    <w:rsid w:val="00A3279B"/>
    <w:rsid w:val="00A32F02"/>
    <w:rsid w:val="00A36FCA"/>
    <w:rsid w:val="00A4138E"/>
    <w:rsid w:val="00A41F5E"/>
    <w:rsid w:val="00A426DC"/>
    <w:rsid w:val="00A50913"/>
    <w:rsid w:val="00A53451"/>
    <w:rsid w:val="00A7118B"/>
    <w:rsid w:val="00A7355C"/>
    <w:rsid w:val="00A749F1"/>
    <w:rsid w:val="00A755C0"/>
    <w:rsid w:val="00A8398A"/>
    <w:rsid w:val="00A865C6"/>
    <w:rsid w:val="00A86C38"/>
    <w:rsid w:val="00A9371B"/>
    <w:rsid w:val="00A94E35"/>
    <w:rsid w:val="00AA17D2"/>
    <w:rsid w:val="00AA40AE"/>
    <w:rsid w:val="00AA5237"/>
    <w:rsid w:val="00AA783D"/>
    <w:rsid w:val="00AA79E2"/>
    <w:rsid w:val="00AB1741"/>
    <w:rsid w:val="00AB22E7"/>
    <w:rsid w:val="00AB3F63"/>
    <w:rsid w:val="00AC250C"/>
    <w:rsid w:val="00AC2A36"/>
    <w:rsid w:val="00AC4785"/>
    <w:rsid w:val="00AC4AD0"/>
    <w:rsid w:val="00AD0422"/>
    <w:rsid w:val="00AD3178"/>
    <w:rsid w:val="00AD31DF"/>
    <w:rsid w:val="00AE0539"/>
    <w:rsid w:val="00AE25A4"/>
    <w:rsid w:val="00AE7576"/>
    <w:rsid w:val="00AE7D3D"/>
    <w:rsid w:val="00AF04CD"/>
    <w:rsid w:val="00AF07C6"/>
    <w:rsid w:val="00AF1F61"/>
    <w:rsid w:val="00AF1F8A"/>
    <w:rsid w:val="00AF65B2"/>
    <w:rsid w:val="00B0065C"/>
    <w:rsid w:val="00B0287E"/>
    <w:rsid w:val="00B0608C"/>
    <w:rsid w:val="00B10A81"/>
    <w:rsid w:val="00B114D5"/>
    <w:rsid w:val="00B11EFC"/>
    <w:rsid w:val="00B152DC"/>
    <w:rsid w:val="00B1534F"/>
    <w:rsid w:val="00B1652A"/>
    <w:rsid w:val="00B2155C"/>
    <w:rsid w:val="00B231E9"/>
    <w:rsid w:val="00B23D72"/>
    <w:rsid w:val="00B243CE"/>
    <w:rsid w:val="00B24964"/>
    <w:rsid w:val="00B4058E"/>
    <w:rsid w:val="00B44C10"/>
    <w:rsid w:val="00B52394"/>
    <w:rsid w:val="00B5674E"/>
    <w:rsid w:val="00B56BB4"/>
    <w:rsid w:val="00B62728"/>
    <w:rsid w:val="00B62916"/>
    <w:rsid w:val="00B63285"/>
    <w:rsid w:val="00B66598"/>
    <w:rsid w:val="00B74F45"/>
    <w:rsid w:val="00B8267A"/>
    <w:rsid w:val="00B87442"/>
    <w:rsid w:val="00B87971"/>
    <w:rsid w:val="00B87AF2"/>
    <w:rsid w:val="00B9255F"/>
    <w:rsid w:val="00B94C48"/>
    <w:rsid w:val="00B95AFB"/>
    <w:rsid w:val="00BA2BE3"/>
    <w:rsid w:val="00BA7443"/>
    <w:rsid w:val="00BB4EE2"/>
    <w:rsid w:val="00BB7D40"/>
    <w:rsid w:val="00BD0E05"/>
    <w:rsid w:val="00BD15D4"/>
    <w:rsid w:val="00BE5438"/>
    <w:rsid w:val="00BE728A"/>
    <w:rsid w:val="00BF049A"/>
    <w:rsid w:val="00BF416F"/>
    <w:rsid w:val="00C04FA5"/>
    <w:rsid w:val="00C13428"/>
    <w:rsid w:val="00C13E90"/>
    <w:rsid w:val="00C23997"/>
    <w:rsid w:val="00C250FF"/>
    <w:rsid w:val="00C30AED"/>
    <w:rsid w:val="00C4437A"/>
    <w:rsid w:val="00C46953"/>
    <w:rsid w:val="00C52B63"/>
    <w:rsid w:val="00C635C9"/>
    <w:rsid w:val="00C67C3E"/>
    <w:rsid w:val="00C74C64"/>
    <w:rsid w:val="00C75FAE"/>
    <w:rsid w:val="00C77432"/>
    <w:rsid w:val="00C8135C"/>
    <w:rsid w:val="00C90CA1"/>
    <w:rsid w:val="00C950A9"/>
    <w:rsid w:val="00C9639D"/>
    <w:rsid w:val="00CA307A"/>
    <w:rsid w:val="00CA3774"/>
    <w:rsid w:val="00CB3141"/>
    <w:rsid w:val="00CB3F88"/>
    <w:rsid w:val="00CB4557"/>
    <w:rsid w:val="00CB51C9"/>
    <w:rsid w:val="00CC3F6C"/>
    <w:rsid w:val="00CC4F3F"/>
    <w:rsid w:val="00CC5C27"/>
    <w:rsid w:val="00CC69B3"/>
    <w:rsid w:val="00CC7D42"/>
    <w:rsid w:val="00CD010D"/>
    <w:rsid w:val="00CD35FD"/>
    <w:rsid w:val="00CE6651"/>
    <w:rsid w:val="00CF7165"/>
    <w:rsid w:val="00D05025"/>
    <w:rsid w:val="00D07B4F"/>
    <w:rsid w:val="00D27666"/>
    <w:rsid w:val="00D30834"/>
    <w:rsid w:val="00D31AEC"/>
    <w:rsid w:val="00D3255F"/>
    <w:rsid w:val="00D33F25"/>
    <w:rsid w:val="00D41446"/>
    <w:rsid w:val="00D445F5"/>
    <w:rsid w:val="00D539E4"/>
    <w:rsid w:val="00D54BDC"/>
    <w:rsid w:val="00D5620D"/>
    <w:rsid w:val="00D62137"/>
    <w:rsid w:val="00D62944"/>
    <w:rsid w:val="00D658F2"/>
    <w:rsid w:val="00D66D48"/>
    <w:rsid w:val="00D6732D"/>
    <w:rsid w:val="00D72203"/>
    <w:rsid w:val="00D72AC6"/>
    <w:rsid w:val="00D72E54"/>
    <w:rsid w:val="00D751F0"/>
    <w:rsid w:val="00D7530A"/>
    <w:rsid w:val="00D76599"/>
    <w:rsid w:val="00D800A2"/>
    <w:rsid w:val="00D80917"/>
    <w:rsid w:val="00D906B2"/>
    <w:rsid w:val="00D92B92"/>
    <w:rsid w:val="00D93A8C"/>
    <w:rsid w:val="00DA0FF2"/>
    <w:rsid w:val="00DA36E5"/>
    <w:rsid w:val="00DA6C82"/>
    <w:rsid w:val="00DB0449"/>
    <w:rsid w:val="00DB09B6"/>
    <w:rsid w:val="00DB27DA"/>
    <w:rsid w:val="00DB55B2"/>
    <w:rsid w:val="00DD1262"/>
    <w:rsid w:val="00DD5C99"/>
    <w:rsid w:val="00DD796C"/>
    <w:rsid w:val="00DF7C25"/>
    <w:rsid w:val="00E01676"/>
    <w:rsid w:val="00E022A7"/>
    <w:rsid w:val="00E026E3"/>
    <w:rsid w:val="00E03E83"/>
    <w:rsid w:val="00E0489C"/>
    <w:rsid w:val="00E04A4E"/>
    <w:rsid w:val="00E05AB2"/>
    <w:rsid w:val="00E21260"/>
    <w:rsid w:val="00E21593"/>
    <w:rsid w:val="00E276FB"/>
    <w:rsid w:val="00E33772"/>
    <w:rsid w:val="00E36757"/>
    <w:rsid w:val="00E41E52"/>
    <w:rsid w:val="00E50A61"/>
    <w:rsid w:val="00E57C6D"/>
    <w:rsid w:val="00E61ED1"/>
    <w:rsid w:val="00E64BA5"/>
    <w:rsid w:val="00E6657F"/>
    <w:rsid w:val="00E70F1C"/>
    <w:rsid w:val="00E71E9E"/>
    <w:rsid w:val="00E74BAF"/>
    <w:rsid w:val="00E754CA"/>
    <w:rsid w:val="00E7654C"/>
    <w:rsid w:val="00E80458"/>
    <w:rsid w:val="00E91365"/>
    <w:rsid w:val="00E91B4C"/>
    <w:rsid w:val="00E94019"/>
    <w:rsid w:val="00E95233"/>
    <w:rsid w:val="00E97211"/>
    <w:rsid w:val="00EA3AF1"/>
    <w:rsid w:val="00EA5689"/>
    <w:rsid w:val="00EA645A"/>
    <w:rsid w:val="00EB10B4"/>
    <w:rsid w:val="00EB3E2E"/>
    <w:rsid w:val="00EB40DA"/>
    <w:rsid w:val="00EB5AA1"/>
    <w:rsid w:val="00EB7A9C"/>
    <w:rsid w:val="00EC26A8"/>
    <w:rsid w:val="00ED12D3"/>
    <w:rsid w:val="00ED172C"/>
    <w:rsid w:val="00EE29CA"/>
    <w:rsid w:val="00EF40C7"/>
    <w:rsid w:val="00EF4860"/>
    <w:rsid w:val="00EF6AD9"/>
    <w:rsid w:val="00F06CFF"/>
    <w:rsid w:val="00F07026"/>
    <w:rsid w:val="00F0774E"/>
    <w:rsid w:val="00F1030B"/>
    <w:rsid w:val="00F11962"/>
    <w:rsid w:val="00F133AC"/>
    <w:rsid w:val="00F158CB"/>
    <w:rsid w:val="00F178FB"/>
    <w:rsid w:val="00F220BA"/>
    <w:rsid w:val="00F2690E"/>
    <w:rsid w:val="00F318D1"/>
    <w:rsid w:val="00F3462B"/>
    <w:rsid w:val="00F35EFD"/>
    <w:rsid w:val="00F375CF"/>
    <w:rsid w:val="00F37BA4"/>
    <w:rsid w:val="00F41EEF"/>
    <w:rsid w:val="00F503B3"/>
    <w:rsid w:val="00F55216"/>
    <w:rsid w:val="00F564EC"/>
    <w:rsid w:val="00F67FA1"/>
    <w:rsid w:val="00F722BD"/>
    <w:rsid w:val="00F726F0"/>
    <w:rsid w:val="00F75BB4"/>
    <w:rsid w:val="00F8170A"/>
    <w:rsid w:val="00F85A36"/>
    <w:rsid w:val="00FA094C"/>
    <w:rsid w:val="00FA5F84"/>
    <w:rsid w:val="00FB03C9"/>
    <w:rsid w:val="00FB19F2"/>
    <w:rsid w:val="00FB5A8D"/>
    <w:rsid w:val="00FB5DDE"/>
    <w:rsid w:val="00FC480B"/>
    <w:rsid w:val="00FC7B0F"/>
    <w:rsid w:val="00FD14A6"/>
    <w:rsid w:val="00FD2081"/>
    <w:rsid w:val="00FD3176"/>
    <w:rsid w:val="00FD3E28"/>
    <w:rsid w:val="00FD4637"/>
    <w:rsid w:val="00FE2E7D"/>
    <w:rsid w:val="00FE38FB"/>
    <w:rsid w:val="00FF3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1F0"/>
    <w:pPr>
      <w:ind w:left="720"/>
      <w:contextualSpacing/>
    </w:pPr>
  </w:style>
  <w:style w:type="character" w:styleId="FootnoteReference">
    <w:name w:val="footnote reference"/>
    <w:basedOn w:val="DefaultParagraphFont"/>
    <w:uiPriority w:val="99"/>
    <w:semiHidden/>
    <w:unhideWhenUsed/>
    <w:rsid w:val="007A13C0"/>
    <w:rPr>
      <w:vertAlign w:val="superscript"/>
    </w:rPr>
  </w:style>
  <w:style w:type="character" w:styleId="Hyperlink">
    <w:name w:val="Hyperlink"/>
    <w:basedOn w:val="DefaultParagraphFont"/>
    <w:uiPriority w:val="99"/>
    <w:unhideWhenUsed/>
    <w:rsid w:val="00F11962"/>
    <w:rPr>
      <w:color w:val="0000FF" w:themeColor="hyperlink"/>
      <w:u w:val="single"/>
    </w:rPr>
  </w:style>
  <w:style w:type="paragraph" w:styleId="Header">
    <w:name w:val="header"/>
    <w:basedOn w:val="Normal"/>
    <w:link w:val="HeaderChar"/>
    <w:uiPriority w:val="99"/>
    <w:unhideWhenUsed/>
    <w:rsid w:val="003F4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67E"/>
  </w:style>
  <w:style w:type="paragraph" w:styleId="Footer">
    <w:name w:val="footer"/>
    <w:basedOn w:val="Normal"/>
    <w:link w:val="FooterChar"/>
    <w:uiPriority w:val="99"/>
    <w:unhideWhenUsed/>
    <w:rsid w:val="003F4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67E"/>
  </w:style>
  <w:style w:type="paragraph" w:styleId="FootnoteText">
    <w:name w:val="footnote text"/>
    <w:basedOn w:val="Normal"/>
    <w:link w:val="FootnoteTextChar"/>
    <w:uiPriority w:val="99"/>
    <w:semiHidden/>
    <w:unhideWhenUsed/>
    <w:rsid w:val="000528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812"/>
    <w:rPr>
      <w:sz w:val="20"/>
      <w:szCs w:val="20"/>
    </w:rPr>
  </w:style>
  <w:style w:type="paragraph" w:styleId="BalloonText">
    <w:name w:val="Balloon Text"/>
    <w:basedOn w:val="Normal"/>
    <w:link w:val="BalloonTextChar"/>
    <w:uiPriority w:val="99"/>
    <w:semiHidden/>
    <w:unhideWhenUsed/>
    <w:rsid w:val="00367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26"/>
    <w:rPr>
      <w:rFonts w:ascii="Tahoma" w:hAnsi="Tahoma" w:cs="Tahoma"/>
      <w:sz w:val="16"/>
      <w:szCs w:val="16"/>
    </w:rPr>
  </w:style>
  <w:style w:type="table" w:styleId="TableGrid">
    <w:name w:val="Table Grid"/>
    <w:basedOn w:val="TableNormal"/>
    <w:uiPriority w:val="59"/>
    <w:rsid w:val="00314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C4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C4AD0"/>
    <w:rPr>
      <w:rFonts w:ascii="Courier New" w:eastAsia="Times New Roman" w:hAnsi="Courier New" w:cs="Courier New"/>
      <w:sz w:val="20"/>
      <w:szCs w:val="20"/>
    </w:rPr>
  </w:style>
  <w:style w:type="character" w:styleId="PlaceholderText">
    <w:name w:val="Placeholder Text"/>
    <w:basedOn w:val="DefaultParagraphFont"/>
    <w:uiPriority w:val="99"/>
    <w:semiHidden/>
    <w:rsid w:val="00110FED"/>
    <w:rPr>
      <w:color w:val="808080"/>
    </w:rPr>
  </w:style>
  <w:style w:type="character" w:customStyle="1" w:styleId="apple-converted-space">
    <w:name w:val="apple-converted-space"/>
    <w:basedOn w:val="DefaultParagraphFont"/>
    <w:rsid w:val="00B0608C"/>
  </w:style>
  <w:style w:type="character" w:styleId="CommentReference">
    <w:name w:val="annotation reference"/>
    <w:basedOn w:val="DefaultParagraphFont"/>
    <w:uiPriority w:val="99"/>
    <w:semiHidden/>
    <w:unhideWhenUsed/>
    <w:rsid w:val="005E6D11"/>
    <w:rPr>
      <w:sz w:val="16"/>
      <w:szCs w:val="16"/>
    </w:rPr>
  </w:style>
  <w:style w:type="paragraph" w:styleId="CommentText">
    <w:name w:val="annotation text"/>
    <w:basedOn w:val="Normal"/>
    <w:link w:val="CommentTextChar"/>
    <w:uiPriority w:val="99"/>
    <w:semiHidden/>
    <w:unhideWhenUsed/>
    <w:rsid w:val="005E6D11"/>
    <w:pPr>
      <w:spacing w:line="240" w:lineRule="auto"/>
    </w:pPr>
    <w:rPr>
      <w:sz w:val="20"/>
      <w:szCs w:val="20"/>
    </w:rPr>
  </w:style>
  <w:style w:type="character" w:customStyle="1" w:styleId="CommentTextChar">
    <w:name w:val="Comment Text Char"/>
    <w:basedOn w:val="DefaultParagraphFont"/>
    <w:link w:val="CommentText"/>
    <w:uiPriority w:val="99"/>
    <w:semiHidden/>
    <w:rsid w:val="005E6D11"/>
    <w:rPr>
      <w:sz w:val="20"/>
      <w:szCs w:val="20"/>
    </w:rPr>
  </w:style>
  <w:style w:type="paragraph" w:styleId="CommentSubject">
    <w:name w:val="annotation subject"/>
    <w:basedOn w:val="CommentText"/>
    <w:next w:val="CommentText"/>
    <w:link w:val="CommentSubjectChar"/>
    <w:uiPriority w:val="99"/>
    <w:semiHidden/>
    <w:unhideWhenUsed/>
    <w:rsid w:val="005E6D11"/>
    <w:rPr>
      <w:b/>
      <w:bCs/>
    </w:rPr>
  </w:style>
  <w:style w:type="character" w:customStyle="1" w:styleId="CommentSubjectChar">
    <w:name w:val="Comment Subject Char"/>
    <w:basedOn w:val="CommentTextChar"/>
    <w:link w:val="CommentSubject"/>
    <w:uiPriority w:val="99"/>
    <w:semiHidden/>
    <w:rsid w:val="005E6D11"/>
    <w:rPr>
      <w:b/>
      <w:bCs/>
      <w:sz w:val="20"/>
      <w:szCs w:val="20"/>
    </w:rPr>
  </w:style>
  <w:style w:type="paragraph" w:styleId="Revision">
    <w:name w:val="Revision"/>
    <w:hidden/>
    <w:uiPriority w:val="99"/>
    <w:semiHidden/>
    <w:rsid w:val="005E6D11"/>
    <w:pPr>
      <w:spacing w:after="0" w:line="240" w:lineRule="auto"/>
    </w:pPr>
  </w:style>
  <w:style w:type="character" w:styleId="Strong">
    <w:name w:val="Strong"/>
    <w:basedOn w:val="DefaultParagraphFont"/>
    <w:uiPriority w:val="22"/>
    <w:qFormat/>
    <w:rsid w:val="00405A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1F0"/>
    <w:pPr>
      <w:ind w:left="720"/>
      <w:contextualSpacing/>
    </w:pPr>
  </w:style>
  <w:style w:type="character" w:styleId="FootnoteReference">
    <w:name w:val="footnote reference"/>
    <w:basedOn w:val="DefaultParagraphFont"/>
    <w:uiPriority w:val="99"/>
    <w:semiHidden/>
    <w:unhideWhenUsed/>
    <w:rsid w:val="007A13C0"/>
    <w:rPr>
      <w:vertAlign w:val="superscript"/>
    </w:rPr>
  </w:style>
  <w:style w:type="character" w:styleId="Hyperlink">
    <w:name w:val="Hyperlink"/>
    <w:basedOn w:val="DefaultParagraphFont"/>
    <w:uiPriority w:val="99"/>
    <w:unhideWhenUsed/>
    <w:rsid w:val="00F11962"/>
    <w:rPr>
      <w:color w:val="0000FF" w:themeColor="hyperlink"/>
      <w:u w:val="single"/>
    </w:rPr>
  </w:style>
  <w:style w:type="paragraph" w:styleId="Header">
    <w:name w:val="header"/>
    <w:basedOn w:val="Normal"/>
    <w:link w:val="HeaderChar"/>
    <w:uiPriority w:val="99"/>
    <w:unhideWhenUsed/>
    <w:rsid w:val="003F4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67E"/>
  </w:style>
  <w:style w:type="paragraph" w:styleId="Footer">
    <w:name w:val="footer"/>
    <w:basedOn w:val="Normal"/>
    <w:link w:val="FooterChar"/>
    <w:uiPriority w:val="99"/>
    <w:unhideWhenUsed/>
    <w:rsid w:val="003F4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67E"/>
  </w:style>
  <w:style w:type="paragraph" w:styleId="FootnoteText">
    <w:name w:val="footnote text"/>
    <w:basedOn w:val="Normal"/>
    <w:link w:val="FootnoteTextChar"/>
    <w:uiPriority w:val="99"/>
    <w:semiHidden/>
    <w:unhideWhenUsed/>
    <w:rsid w:val="000528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812"/>
    <w:rPr>
      <w:sz w:val="20"/>
      <w:szCs w:val="20"/>
    </w:rPr>
  </w:style>
  <w:style w:type="paragraph" w:styleId="BalloonText">
    <w:name w:val="Balloon Text"/>
    <w:basedOn w:val="Normal"/>
    <w:link w:val="BalloonTextChar"/>
    <w:uiPriority w:val="99"/>
    <w:semiHidden/>
    <w:unhideWhenUsed/>
    <w:rsid w:val="00367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26"/>
    <w:rPr>
      <w:rFonts w:ascii="Tahoma" w:hAnsi="Tahoma" w:cs="Tahoma"/>
      <w:sz w:val="16"/>
      <w:szCs w:val="16"/>
    </w:rPr>
  </w:style>
  <w:style w:type="table" w:styleId="TableGrid">
    <w:name w:val="Table Grid"/>
    <w:basedOn w:val="TableNormal"/>
    <w:uiPriority w:val="59"/>
    <w:rsid w:val="00314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C4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C4AD0"/>
    <w:rPr>
      <w:rFonts w:ascii="Courier New" w:eastAsia="Times New Roman" w:hAnsi="Courier New" w:cs="Courier New"/>
      <w:sz w:val="20"/>
      <w:szCs w:val="20"/>
    </w:rPr>
  </w:style>
  <w:style w:type="character" w:styleId="PlaceholderText">
    <w:name w:val="Placeholder Text"/>
    <w:basedOn w:val="DefaultParagraphFont"/>
    <w:uiPriority w:val="99"/>
    <w:semiHidden/>
    <w:rsid w:val="00110FED"/>
    <w:rPr>
      <w:color w:val="808080"/>
    </w:rPr>
  </w:style>
  <w:style w:type="character" w:customStyle="1" w:styleId="apple-converted-space">
    <w:name w:val="apple-converted-space"/>
    <w:basedOn w:val="DefaultParagraphFont"/>
    <w:rsid w:val="00B0608C"/>
  </w:style>
  <w:style w:type="character" w:styleId="CommentReference">
    <w:name w:val="annotation reference"/>
    <w:basedOn w:val="DefaultParagraphFont"/>
    <w:uiPriority w:val="99"/>
    <w:semiHidden/>
    <w:unhideWhenUsed/>
    <w:rsid w:val="005E6D11"/>
    <w:rPr>
      <w:sz w:val="16"/>
      <w:szCs w:val="16"/>
    </w:rPr>
  </w:style>
  <w:style w:type="paragraph" w:styleId="CommentText">
    <w:name w:val="annotation text"/>
    <w:basedOn w:val="Normal"/>
    <w:link w:val="CommentTextChar"/>
    <w:uiPriority w:val="99"/>
    <w:semiHidden/>
    <w:unhideWhenUsed/>
    <w:rsid w:val="005E6D11"/>
    <w:pPr>
      <w:spacing w:line="240" w:lineRule="auto"/>
    </w:pPr>
    <w:rPr>
      <w:sz w:val="20"/>
      <w:szCs w:val="20"/>
    </w:rPr>
  </w:style>
  <w:style w:type="character" w:customStyle="1" w:styleId="CommentTextChar">
    <w:name w:val="Comment Text Char"/>
    <w:basedOn w:val="DefaultParagraphFont"/>
    <w:link w:val="CommentText"/>
    <w:uiPriority w:val="99"/>
    <w:semiHidden/>
    <w:rsid w:val="005E6D11"/>
    <w:rPr>
      <w:sz w:val="20"/>
      <w:szCs w:val="20"/>
    </w:rPr>
  </w:style>
  <w:style w:type="paragraph" w:styleId="CommentSubject">
    <w:name w:val="annotation subject"/>
    <w:basedOn w:val="CommentText"/>
    <w:next w:val="CommentText"/>
    <w:link w:val="CommentSubjectChar"/>
    <w:uiPriority w:val="99"/>
    <w:semiHidden/>
    <w:unhideWhenUsed/>
    <w:rsid w:val="005E6D11"/>
    <w:rPr>
      <w:b/>
      <w:bCs/>
    </w:rPr>
  </w:style>
  <w:style w:type="character" w:customStyle="1" w:styleId="CommentSubjectChar">
    <w:name w:val="Comment Subject Char"/>
    <w:basedOn w:val="CommentTextChar"/>
    <w:link w:val="CommentSubject"/>
    <w:uiPriority w:val="99"/>
    <w:semiHidden/>
    <w:rsid w:val="005E6D11"/>
    <w:rPr>
      <w:b/>
      <w:bCs/>
      <w:sz w:val="20"/>
      <w:szCs w:val="20"/>
    </w:rPr>
  </w:style>
  <w:style w:type="paragraph" w:styleId="Revision">
    <w:name w:val="Revision"/>
    <w:hidden/>
    <w:uiPriority w:val="99"/>
    <w:semiHidden/>
    <w:rsid w:val="005E6D11"/>
    <w:pPr>
      <w:spacing w:after="0" w:line="240" w:lineRule="auto"/>
    </w:pPr>
  </w:style>
  <w:style w:type="character" w:styleId="Strong">
    <w:name w:val="Strong"/>
    <w:basedOn w:val="DefaultParagraphFont"/>
    <w:uiPriority w:val="22"/>
    <w:qFormat/>
    <w:rsid w:val="00405A24"/>
    <w:rPr>
      <w:b/>
      <w:bCs/>
    </w:rPr>
  </w:style>
</w:styles>
</file>

<file path=word/webSettings.xml><?xml version="1.0" encoding="utf-8"?>
<w:webSettings xmlns:r="http://schemas.openxmlformats.org/officeDocument/2006/relationships" xmlns:w="http://schemas.openxmlformats.org/wordprocessingml/2006/main">
  <w:divs>
    <w:div w:id="153302984">
      <w:bodyDiv w:val="1"/>
      <w:marLeft w:val="0"/>
      <w:marRight w:val="0"/>
      <w:marTop w:val="0"/>
      <w:marBottom w:val="0"/>
      <w:divBdr>
        <w:top w:val="none" w:sz="0" w:space="0" w:color="auto"/>
        <w:left w:val="none" w:sz="0" w:space="0" w:color="auto"/>
        <w:bottom w:val="none" w:sz="0" w:space="0" w:color="auto"/>
        <w:right w:val="none" w:sz="0" w:space="0" w:color="auto"/>
      </w:divBdr>
      <w:divsChild>
        <w:div w:id="1246260672">
          <w:marLeft w:val="0"/>
          <w:marRight w:val="0"/>
          <w:marTop w:val="0"/>
          <w:marBottom w:val="0"/>
          <w:divBdr>
            <w:top w:val="none" w:sz="0" w:space="0" w:color="auto"/>
            <w:left w:val="none" w:sz="0" w:space="0" w:color="auto"/>
            <w:bottom w:val="none" w:sz="0" w:space="0" w:color="auto"/>
            <w:right w:val="none" w:sz="0" w:space="0" w:color="auto"/>
          </w:divBdr>
          <w:divsChild>
            <w:div w:id="962155564">
              <w:marLeft w:val="0"/>
              <w:marRight w:val="0"/>
              <w:marTop w:val="0"/>
              <w:marBottom w:val="0"/>
              <w:divBdr>
                <w:top w:val="none" w:sz="0" w:space="0" w:color="auto"/>
                <w:left w:val="none" w:sz="0" w:space="0" w:color="auto"/>
                <w:bottom w:val="none" w:sz="0" w:space="0" w:color="auto"/>
                <w:right w:val="none" w:sz="0" w:space="0" w:color="auto"/>
              </w:divBdr>
              <w:divsChild>
                <w:div w:id="735666368">
                  <w:marLeft w:val="0"/>
                  <w:marRight w:val="0"/>
                  <w:marTop w:val="0"/>
                  <w:marBottom w:val="0"/>
                  <w:divBdr>
                    <w:top w:val="none" w:sz="0" w:space="0" w:color="auto"/>
                    <w:left w:val="none" w:sz="0" w:space="0" w:color="auto"/>
                    <w:bottom w:val="none" w:sz="0" w:space="0" w:color="auto"/>
                    <w:right w:val="none" w:sz="0" w:space="0" w:color="auto"/>
                  </w:divBdr>
                  <w:divsChild>
                    <w:div w:id="2122724116">
                      <w:marLeft w:val="0"/>
                      <w:marRight w:val="0"/>
                      <w:marTop w:val="0"/>
                      <w:marBottom w:val="0"/>
                      <w:divBdr>
                        <w:top w:val="none" w:sz="0" w:space="0" w:color="auto"/>
                        <w:left w:val="none" w:sz="0" w:space="0" w:color="auto"/>
                        <w:bottom w:val="none" w:sz="0" w:space="0" w:color="auto"/>
                        <w:right w:val="none" w:sz="0" w:space="0" w:color="auto"/>
                      </w:divBdr>
                      <w:divsChild>
                        <w:div w:id="407465284">
                          <w:marLeft w:val="0"/>
                          <w:marRight w:val="0"/>
                          <w:marTop w:val="0"/>
                          <w:marBottom w:val="0"/>
                          <w:divBdr>
                            <w:top w:val="none" w:sz="0" w:space="0" w:color="auto"/>
                            <w:left w:val="none" w:sz="0" w:space="0" w:color="auto"/>
                            <w:bottom w:val="none" w:sz="0" w:space="0" w:color="auto"/>
                            <w:right w:val="none" w:sz="0" w:space="0" w:color="auto"/>
                          </w:divBdr>
                          <w:divsChild>
                            <w:div w:id="274792729">
                              <w:marLeft w:val="0"/>
                              <w:marRight w:val="0"/>
                              <w:marTop w:val="0"/>
                              <w:marBottom w:val="0"/>
                              <w:divBdr>
                                <w:top w:val="none" w:sz="0" w:space="0" w:color="auto"/>
                                <w:left w:val="none" w:sz="0" w:space="0" w:color="auto"/>
                                <w:bottom w:val="none" w:sz="0" w:space="0" w:color="auto"/>
                                <w:right w:val="none" w:sz="0" w:space="0" w:color="auto"/>
                              </w:divBdr>
                              <w:divsChild>
                                <w:div w:id="449780935">
                                  <w:marLeft w:val="0"/>
                                  <w:marRight w:val="0"/>
                                  <w:marTop w:val="0"/>
                                  <w:marBottom w:val="0"/>
                                  <w:divBdr>
                                    <w:top w:val="none" w:sz="0" w:space="0" w:color="auto"/>
                                    <w:left w:val="none" w:sz="0" w:space="0" w:color="auto"/>
                                    <w:bottom w:val="none" w:sz="0" w:space="0" w:color="auto"/>
                                    <w:right w:val="none" w:sz="0" w:space="0" w:color="auto"/>
                                  </w:divBdr>
                                  <w:divsChild>
                                    <w:div w:id="1104156924">
                                      <w:marLeft w:val="0"/>
                                      <w:marRight w:val="0"/>
                                      <w:marTop w:val="0"/>
                                      <w:marBottom w:val="0"/>
                                      <w:divBdr>
                                        <w:top w:val="none" w:sz="0" w:space="0" w:color="auto"/>
                                        <w:left w:val="none" w:sz="0" w:space="0" w:color="auto"/>
                                        <w:bottom w:val="none" w:sz="0" w:space="0" w:color="auto"/>
                                        <w:right w:val="none" w:sz="0" w:space="0" w:color="auto"/>
                                      </w:divBdr>
                                      <w:divsChild>
                                        <w:div w:id="1795245056">
                                          <w:marLeft w:val="0"/>
                                          <w:marRight w:val="0"/>
                                          <w:marTop w:val="0"/>
                                          <w:marBottom w:val="0"/>
                                          <w:divBdr>
                                            <w:top w:val="none" w:sz="0" w:space="0" w:color="auto"/>
                                            <w:left w:val="none" w:sz="0" w:space="0" w:color="auto"/>
                                            <w:bottom w:val="none" w:sz="0" w:space="0" w:color="auto"/>
                                            <w:right w:val="none" w:sz="0" w:space="0" w:color="auto"/>
                                          </w:divBdr>
                                          <w:divsChild>
                                            <w:div w:id="605772082">
                                              <w:marLeft w:val="0"/>
                                              <w:marRight w:val="0"/>
                                              <w:marTop w:val="0"/>
                                              <w:marBottom w:val="0"/>
                                              <w:divBdr>
                                                <w:top w:val="none" w:sz="0" w:space="0" w:color="auto"/>
                                                <w:left w:val="none" w:sz="0" w:space="0" w:color="auto"/>
                                                <w:bottom w:val="none" w:sz="0" w:space="0" w:color="auto"/>
                                                <w:right w:val="none" w:sz="0" w:space="0" w:color="auto"/>
                                              </w:divBdr>
                                              <w:divsChild>
                                                <w:div w:id="1865904507">
                                                  <w:marLeft w:val="0"/>
                                                  <w:marRight w:val="0"/>
                                                  <w:marTop w:val="0"/>
                                                  <w:marBottom w:val="0"/>
                                                  <w:divBdr>
                                                    <w:top w:val="none" w:sz="0" w:space="0" w:color="auto"/>
                                                    <w:left w:val="none" w:sz="0" w:space="0" w:color="auto"/>
                                                    <w:bottom w:val="none" w:sz="0" w:space="0" w:color="auto"/>
                                                    <w:right w:val="none" w:sz="0" w:space="0" w:color="auto"/>
                                                  </w:divBdr>
                                                  <w:divsChild>
                                                    <w:div w:id="1615555184">
                                                      <w:marLeft w:val="0"/>
                                                      <w:marRight w:val="0"/>
                                                      <w:marTop w:val="0"/>
                                                      <w:marBottom w:val="0"/>
                                                      <w:divBdr>
                                                        <w:top w:val="none" w:sz="0" w:space="0" w:color="auto"/>
                                                        <w:left w:val="none" w:sz="0" w:space="0" w:color="auto"/>
                                                        <w:bottom w:val="none" w:sz="0" w:space="0" w:color="auto"/>
                                                        <w:right w:val="none" w:sz="0" w:space="0" w:color="auto"/>
                                                      </w:divBdr>
                                                      <w:divsChild>
                                                        <w:div w:id="1836678599">
                                                          <w:marLeft w:val="0"/>
                                                          <w:marRight w:val="0"/>
                                                          <w:marTop w:val="0"/>
                                                          <w:marBottom w:val="0"/>
                                                          <w:divBdr>
                                                            <w:top w:val="none" w:sz="0" w:space="0" w:color="auto"/>
                                                            <w:left w:val="none" w:sz="0" w:space="0" w:color="auto"/>
                                                            <w:bottom w:val="none" w:sz="0" w:space="0" w:color="auto"/>
                                                            <w:right w:val="none" w:sz="0" w:space="0" w:color="auto"/>
                                                          </w:divBdr>
                                                          <w:divsChild>
                                                            <w:div w:id="1910994435">
                                                              <w:marLeft w:val="0"/>
                                                              <w:marRight w:val="150"/>
                                                              <w:marTop w:val="0"/>
                                                              <w:marBottom w:val="150"/>
                                                              <w:divBdr>
                                                                <w:top w:val="none" w:sz="0" w:space="0" w:color="auto"/>
                                                                <w:left w:val="none" w:sz="0" w:space="0" w:color="auto"/>
                                                                <w:bottom w:val="none" w:sz="0" w:space="0" w:color="auto"/>
                                                                <w:right w:val="none" w:sz="0" w:space="0" w:color="auto"/>
                                                              </w:divBdr>
                                                              <w:divsChild>
                                                                <w:div w:id="718632531">
                                                                  <w:marLeft w:val="0"/>
                                                                  <w:marRight w:val="0"/>
                                                                  <w:marTop w:val="0"/>
                                                                  <w:marBottom w:val="0"/>
                                                                  <w:divBdr>
                                                                    <w:top w:val="none" w:sz="0" w:space="0" w:color="auto"/>
                                                                    <w:left w:val="none" w:sz="0" w:space="0" w:color="auto"/>
                                                                    <w:bottom w:val="none" w:sz="0" w:space="0" w:color="auto"/>
                                                                    <w:right w:val="none" w:sz="0" w:space="0" w:color="auto"/>
                                                                  </w:divBdr>
                                                                  <w:divsChild>
                                                                    <w:div w:id="192159440">
                                                                      <w:marLeft w:val="0"/>
                                                                      <w:marRight w:val="0"/>
                                                                      <w:marTop w:val="0"/>
                                                                      <w:marBottom w:val="0"/>
                                                                      <w:divBdr>
                                                                        <w:top w:val="none" w:sz="0" w:space="0" w:color="auto"/>
                                                                        <w:left w:val="none" w:sz="0" w:space="0" w:color="auto"/>
                                                                        <w:bottom w:val="none" w:sz="0" w:space="0" w:color="auto"/>
                                                                        <w:right w:val="none" w:sz="0" w:space="0" w:color="auto"/>
                                                                      </w:divBdr>
                                                                      <w:divsChild>
                                                                        <w:div w:id="1530297523">
                                                                          <w:marLeft w:val="0"/>
                                                                          <w:marRight w:val="0"/>
                                                                          <w:marTop w:val="0"/>
                                                                          <w:marBottom w:val="0"/>
                                                                          <w:divBdr>
                                                                            <w:top w:val="none" w:sz="0" w:space="0" w:color="auto"/>
                                                                            <w:left w:val="none" w:sz="0" w:space="0" w:color="auto"/>
                                                                            <w:bottom w:val="none" w:sz="0" w:space="0" w:color="auto"/>
                                                                            <w:right w:val="none" w:sz="0" w:space="0" w:color="auto"/>
                                                                          </w:divBdr>
                                                                          <w:divsChild>
                                                                            <w:div w:id="311832255">
                                                                              <w:marLeft w:val="0"/>
                                                                              <w:marRight w:val="0"/>
                                                                              <w:marTop w:val="0"/>
                                                                              <w:marBottom w:val="0"/>
                                                                              <w:divBdr>
                                                                                <w:top w:val="none" w:sz="0" w:space="0" w:color="auto"/>
                                                                                <w:left w:val="none" w:sz="0" w:space="0" w:color="auto"/>
                                                                                <w:bottom w:val="none" w:sz="0" w:space="0" w:color="auto"/>
                                                                                <w:right w:val="none" w:sz="0" w:space="0" w:color="auto"/>
                                                                              </w:divBdr>
                                                                              <w:divsChild>
                                                                                <w:div w:id="1583415547">
                                                                                  <w:marLeft w:val="0"/>
                                                                                  <w:marRight w:val="0"/>
                                                                                  <w:marTop w:val="0"/>
                                                                                  <w:marBottom w:val="0"/>
                                                                                  <w:divBdr>
                                                                                    <w:top w:val="none" w:sz="0" w:space="0" w:color="auto"/>
                                                                                    <w:left w:val="none" w:sz="0" w:space="0" w:color="auto"/>
                                                                                    <w:bottom w:val="none" w:sz="0" w:space="0" w:color="auto"/>
                                                                                    <w:right w:val="none" w:sz="0" w:space="0" w:color="auto"/>
                                                                                  </w:divBdr>
                                                                                  <w:divsChild>
                                                                                    <w:div w:id="1354502578">
                                                                                      <w:marLeft w:val="0"/>
                                                                                      <w:marRight w:val="0"/>
                                                                                      <w:marTop w:val="0"/>
                                                                                      <w:marBottom w:val="0"/>
                                                                                      <w:divBdr>
                                                                                        <w:top w:val="none" w:sz="0" w:space="0" w:color="auto"/>
                                                                                        <w:left w:val="none" w:sz="0" w:space="0" w:color="auto"/>
                                                                                        <w:bottom w:val="none" w:sz="0" w:space="0" w:color="auto"/>
                                                                                        <w:right w:val="none" w:sz="0" w:space="0" w:color="auto"/>
                                                                                      </w:divBdr>
                                                                                      <w:divsChild>
                                                                                        <w:div w:id="966859203">
                                                                                          <w:marLeft w:val="0"/>
                                                                                          <w:marRight w:val="0"/>
                                                                                          <w:marTop w:val="0"/>
                                                                                          <w:marBottom w:val="0"/>
                                                                                          <w:divBdr>
                                                                                            <w:top w:val="none" w:sz="0" w:space="0" w:color="auto"/>
                                                                                            <w:left w:val="none" w:sz="0" w:space="0" w:color="auto"/>
                                                                                            <w:bottom w:val="none" w:sz="0" w:space="0" w:color="auto"/>
                                                                                            <w:right w:val="none" w:sz="0" w:space="0" w:color="auto"/>
                                                                                          </w:divBdr>
                                                                                          <w:divsChild>
                                                                                            <w:div w:id="1286036234">
                                                                                              <w:marLeft w:val="0"/>
                                                                                              <w:marRight w:val="0"/>
                                                                                              <w:marTop w:val="0"/>
                                                                                              <w:marBottom w:val="0"/>
                                                                                              <w:divBdr>
                                                                                                <w:top w:val="none" w:sz="0" w:space="0" w:color="auto"/>
                                                                                                <w:left w:val="none" w:sz="0" w:space="0" w:color="auto"/>
                                                                                                <w:bottom w:val="none" w:sz="0" w:space="0" w:color="auto"/>
                                                                                                <w:right w:val="none" w:sz="0" w:space="0" w:color="auto"/>
                                                                                              </w:divBdr>
                                                                                              <w:divsChild>
                                                                                                <w:div w:id="1718821122">
                                                                                                  <w:marLeft w:val="0"/>
                                                                                                  <w:marRight w:val="0"/>
                                                                                                  <w:marTop w:val="0"/>
                                                                                                  <w:marBottom w:val="0"/>
                                                                                                  <w:divBdr>
                                                                                                    <w:top w:val="none" w:sz="0" w:space="0" w:color="auto"/>
                                                                                                    <w:left w:val="none" w:sz="0" w:space="0" w:color="auto"/>
                                                                                                    <w:bottom w:val="none" w:sz="0" w:space="0" w:color="auto"/>
                                                                                                    <w:right w:val="none" w:sz="0" w:space="0" w:color="auto"/>
                                                                                                  </w:divBdr>
                                                                                                  <w:divsChild>
                                                                                                    <w:div w:id="1402361708">
                                                                                                      <w:marLeft w:val="0"/>
                                                                                                      <w:marRight w:val="0"/>
                                                                                                      <w:marTop w:val="0"/>
                                                                                                      <w:marBottom w:val="0"/>
                                                                                                      <w:divBdr>
                                                                                                        <w:top w:val="none" w:sz="0" w:space="0" w:color="auto"/>
                                                                                                        <w:left w:val="none" w:sz="0" w:space="0" w:color="auto"/>
                                                                                                        <w:bottom w:val="none" w:sz="0" w:space="0" w:color="auto"/>
                                                                                                        <w:right w:val="none" w:sz="0" w:space="0" w:color="auto"/>
                                                                                                      </w:divBdr>
                                                                                                      <w:divsChild>
                                                                                                        <w:div w:id="2029478070">
                                                                                                          <w:marLeft w:val="0"/>
                                                                                                          <w:marRight w:val="0"/>
                                                                                                          <w:marTop w:val="0"/>
                                                                                                          <w:marBottom w:val="0"/>
                                                                                                          <w:divBdr>
                                                                                                            <w:top w:val="none" w:sz="0" w:space="0" w:color="auto"/>
                                                                                                            <w:left w:val="none" w:sz="0" w:space="0" w:color="auto"/>
                                                                                                            <w:bottom w:val="none" w:sz="0" w:space="0" w:color="auto"/>
                                                                                                            <w:right w:val="none" w:sz="0" w:space="0" w:color="auto"/>
                                                                                                          </w:divBdr>
                                                                                                        </w:div>
                                                                                                      </w:divsChild>
                                                                                                    </w:div>
                                                                                                    <w:div w:id="638152854">
                                                                                                      <w:marLeft w:val="0"/>
                                                                                                      <w:marRight w:val="0"/>
                                                                                                      <w:marTop w:val="0"/>
                                                                                                      <w:marBottom w:val="0"/>
                                                                                                      <w:divBdr>
                                                                                                        <w:top w:val="none" w:sz="0" w:space="0" w:color="auto"/>
                                                                                                        <w:left w:val="none" w:sz="0" w:space="0" w:color="auto"/>
                                                                                                        <w:bottom w:val="none" w:sz="0" w:space="0" w:color="auto"/>
                                                                                                        <w:right w:val="none" w:sz="0" w:space="0" w:color="auto"/>
                                                                                                      </w:divBdr>
                                                                                                      <w:divsChild>
                                                                                                        <w:div w:id="20760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55553">
      <w:bodyDiv w:val="1"/>
      <w:marLeft w:val="0"/>
      <w:marRight w:val="0"/>
      <w:marTop w:val="0"/>
      <w:marBottom w:val="0"/>
      <w:divBdr>
        <w:top w:val="none" w:sz="0" w:space="0" w:color="auto"/>
        <w:left w:val="none" w:sz="0" w:space="0" w:color="auto"/>
        <w:bottom w:val="none" w:sz="0" w:space="0" w:color="auto"/>
        <w:right w:val="none" w:sz="0" w:space="0" w:color="auto"/>
      </w:divBdr>
    </w:div>
    <w:div w:id="218590425">
      <w:bodyDiv w:val="1"/>
      <w:marLeft w:val="0"/>
      <w:marRight w:val="0"/>
      <w:marTop w:val="0"/>
      <w:marBottom w:val="0"/>
      <w:divBdr>
        <w:top w:val="none" w:sz="0" w:space="0" w:color="auto"/>
        <w:left w:val="none" w:sz="0" w:space="0" w:color="auto"/>
        <w:bottom w:val="none" w:sz="0" w:space="0" w:color="auto"/>
        <w:right w:val="none" w:sz="0" w:space="0" w:color="auto"/>
      </w:divBdr>
    </w:div>
    <w:div w:id="244340574">
      <w:bodyDiv w:val="1"/>
      <w:marLeft w:val="0"/>
      <w:marRight w:val="0"/>
      <w:marTop w:val="0"/>
      <w:marBottom w:val="0"/>
      <w:divBdr>
        <w:top w:val="none" w:sz="0" w:space="0" w:color="auto"/>
        <w:left w:val="none" w:sz="0" w:space="0" w:color="auto"/>
        <w:bottom w:val="none" w:sz="0" w:space="0" w:color="auto"/>
        <w:right w:val="none" w:sz="0" w:space="0" w:color="auto"/>
      </w:divBdr>
      <w:divsChild>
        <w:div w:id="635180127">
          <w:marLeft w:val="0"/>
          <w:marRight w:val="0"/>
          <w:marTop w:val="0"/>
          <w:marBottom w:val="0"/>
          <w:divBdr>
            <w:top w:val="none" w:sz="0" w:space="0" w:color="auto"/>
            <w:left w:val="none" w:sz="0" w:space="0" w:color="auto"/>
            <w:bottom w:val="none" w:sz="0" w:space="0" w:color="auto"/>
            <w:right w:val="none" w:sz="0" w:space="0" w:color="auto"/>
          </w:divBdr>
          <w:divsChild>
            <w:div w:id="579680411">
              <w:marLeft w:val="0"/>
              <w:marRight w:val="0"/>
              <w:marTop w:val="0"/>
              <w:marBottom w:val="0"/>
              <w:divBdr>
                <w:top w:val="none" w:sz="0" w:space="0" w:color="auto"/>
                <w:left w:val="none" w:sz="0" w:space="0" w:color="auto"/>
                <w:bottom w:val="none" w:sz="0" w:space="0" w:color="auto"/>
                <w:right w:val="none" w:sz="0" w:space="0" w:color="auto"/>
              </w:divBdr>
              <w:divsChild>
                <w:div w:id="1325351918">
                  <w:marLeft w:val="0"/>
                  <w:marRight w:val="0"/>
                  <w:marTop w:val="0"/>
                  <w:marBottom w:val="0"/>
                  <w:divBdr>
                    <w:top w:val="none" w:sz="0" w:space="0" w:color="auto"/>
                    <w:left w:val="none" w:sz="0" w:space="0" w:color="auto"/>
                    <w:bottom w:val="none" w:sz="0" w:space="0" w:color="auto"/>
                    <w:right w:val="none" w:sz="0" w:space="0" w:color="auto"/>
                  </w:divBdr>
                  <w:divsChild>
                    <w:div w:id="449209223">
                      <w:marLeft w:val="0"/>
                      <w:marRight w:val="0"/>
                      <w:marTop w:val="0"/>
                      <w:marBottom w:val="0"/>
                      <w:divBdr>
                        <w:top w:val="none" w:sz="0" w:space="0" w:color="auto"/>
                        <w:left w:val="none" w:sz="0" w:space="0" w:color="auto"/>
                        <w:bottom w:val="none" w:sz="0" w:space="0" w:color="auto"/>
                        <w:right w:val="none" w:sz="0" w:space="0" w:color="auto"/>
                      </w:divBdr>
                      <w:divsChild>
                        <w:div w:id="568731661">
                          <w:marLeft w:val="0"/>
                          <w:marRight w:val="0"/>
                          <w:marTop w:val="0"/>
                          <w:marBottom w:val="0"/>
                          <w:divBdr>
                            <w:top w:val="none" w:sz="0" w:space="0" w:color="auto"/>
                            <w:left w:val="none" w:sz="0" w:space="0" w:color="auto"/>
                            <w:bottom w:val="none" w:sz="0" w:space="0" w:color="auto"/>
                            <w:right w:val="none" w:sz="0" w:space="0" w:color="auto"/>
                          </w:divBdr>
                          <w:divsChild>
                            <w:div w:id="228228336">
                              <w:marLeft w:val="0"/>
                              <w:marRight w:val="0"/>
                              <w:marTop w:val="0"/>
                              <w:marBottom w:val="0"/>
                              <w:divBdr>
                                <w:top w:val="none" w:sz="0" w:space="0" w:color="auto"/>
                                <w:left w:val="none" w:sz="0" w:space="0" w:color="auto"/>
                                <w:bottom w:val="none" w:sz="0" w:space="0" w:color="auto"/>
                                <w:right w:val="none" w:sz="0" w:space="0" w:color="auto"/>
                              </w:divBdr>
                              <w:divsChild>
                                <w:div w:id="1521357415">
                                  <w:marLeft w:val="0"/>
                                  <w:marRight w:val="0"/>
                                  <w:marTop w:val="0"/>
                                  <w:marBottom w:val="0"/>
                                  <w:divBdr>
                                    <w:top w:val="none" w:sz="0" w:space="0" w:color="auto"/>
                                    <w:left w:val="none" w:sz="0" w:space="0" w:color="auto"/>
                                    <w:bottom w:val="none" w:sz="0" w:space="0" w:color="auto"/>
                                    <w:right w:val="none" w:sz="0" w:space="0" w:color="auto"/>
                                  </w:divBdr>
                                  <w:divsChild>
                                    <w:div w:id="1591112658">
                                      <w:marLeft w:val="0"/>
                                      <w:marRight w:val="0"/>
                                      <w:marTop w:val="0"/>
                                      <w:marBottom w:val="0"/>
                                      <w:divBdr>
                                        <w:top w:val="none" w:sz="0" w:space="0" w:color="auto"/>
                                        <w:left w:val="none" w:sz="0" w:space="0" w:color="auto"/>
                                        <w:bottom w:val="none" w:sz="0" w:space="0" w:color="auto"/>
                                        <w:right w:val="none" w:sz="0" w:space="0" w:color="auto"/>
                                      </w:divBdr>
                                      <w:divsChild>
                                        <w:div w:id="1676953230">
                                          <w:marLeft w:val="0"/>
                                          <w:marRight w:val="0"/>
                                          <w:marTop w:val="0"/>
                                          <w:marBottom w:val="0"/>
                                          <w:divBdr>
                                            <w:top w:val="none" w:sz="0" w:space="0" w:color="auto"/>
                                            <w:left w:val="none" w:sz="0" w:space="0" w:color="auto"/>
                                            <w:bottom w:val="none" w:sz="0" w:space="0" w:color="auto"/>
                                            <w:right w:val="none" w:sz="0" w:space="0" w:color="auto"/>
                                          </w:divBdr>
                                          <w:divsChild>
                                            <w:div w:id="1450395992">
                                              <w:marLeft w:val="0"/>
                                              <w:marRight w:val="0"/>
                                              <w:marTop w:val="0"/>
                                              <w:marBottom w:val="0"/>
                                              <w:divBdr>
                                                <w:top w:val="none" w:sz="0" w:space="0" w:color="auto"/>
                                                <w:left w:val="none" w:sz="0" w:space="0" w:color="auto"/>
                                                <w:bottom w:val="none" w:sz="0" w:space="0" w:color="auto"/>
                                                <w:right w:val="none" w:sz="0" w:space="0" w:color="auto"/>
                                              </w:divBdr>
                                              <w:divsChild>
                                                <w:div w:id="1342926354">
                                                  <w:marLeft w:val="0"/>
                                                  <w:marRight w:val="0"/>
                                                  <w:marTop w:val="0"/>
                                                  <w:marBottom w:val="0"/>
                                                  <w:divBdr>
                                                    <w:top w:val="none" w:sz="0" w:space="0" w:color="auto"/>
                                                    <w:left w:val="none" w:sz="0" w:space="0" w:color="auto"/>
                                                    <w:bottom w:val="none" w:sz="0" w:space="0" w:color="auto"/>
                                                    <w:right w:val="none" w:sz="0" w:space="0" w:color="auto"/>
                                                  </w:divBdr>
                                                  <w:divsChild>
                                                    <w:div w:id="2040426506">
                                                      <w:marLeft w:val="0"/>
                                                      <w:marRight w:val="0"/>
                                                      <w:marTop w:val="0"/>
                                                      <w:marBottom w:val="0"/>
                                                      <w:divBdr>
                                                        <w:top w:val="none" w:sz="0" w:space="0" w:color="auto"/>
                                                        <w:left w:val="none" w:sz="0" w:space="0" w:color="auto"/>
                                                        <w:bottom w:val="none" w:sz="0" w:space="0" w:color="auto"/>
                                                        <w:right w:val="none" w:sz="0" w:space="0" w:color="auto"/>
                                                      </w:divBdr>
                                                      <w:divsChild>
                                                        <w:div w:id="1072502158">
                                                          <w:marLeft w:val="0"/>
                                                          <w:marRight w:val="0"/>
                                                          <w:marTop w:val="0"/>
                                                          <w:marBottom w:val="0"/>
                                                          <w:divBdr>
                                                            <w:top w:val="none" w:sz="0" w:space="0" w:color="auto"/>
                                                            <w:left w:val="none" w:sz="0" w:space="0" w:color="auto"/>
                                                            <w:bottom w:val="none" w:sz="0" w:space="0" w:color="auto"/>
                                                            <w:right w:val="none" w:sz="0" w:space="0" w:color="auto"/>
                                                          </w:divBdr>
                                                          <w:divsChild>
                                                            <w:div w:id="325401426">
                                                              <w:marLeft w:val="0"/>
                                                              <w:marRight w:val="150"/>
                                                              <w:marTop w:val="0"/>
                                                              <w:marBottom w:val="150"/>
                                                              <w:divBdr>
                                                                <w:top w:val="none" w:sz="0" w:space="0" w:color="auto"/>
                                                                <w:left w:val="none" w:sz="0" w:space="0" w:color="auto"/>
                                                                <w:bottom w:val="none" w:sz="0" w:space="0" w:color="auto"/>
                                                                <w:right w:val="none" w:sz="0" w:space="0" w:color="auto"/>
                                                              </w:divBdr>
                                                              <w:divsChild>
                                                                <w:div w:id="1795979523">
                                                                  <w:marLeft w:val="0"/>
                                                                  <w:marRight w:val="0"/>
                                                                  <w:marTop w:val="0"/>
                                                                  <w:marBottom w:val="0"/>
                                                                  <w:divBdr>
                                                                    <w:top w:val="none" w:sz="0" w:space="0" w:color="auto"/>
                                                                    <w:left w:val="none" w:sz="0" w:space="0" w:color="auto"/>
                                                                    <w:bottom w:val="none" w:sz="0" w:space="0" w:color="auto"/>
                                                                    <w:right w:val="none" w:sz="0" w:space="0" w:color="auto"/>
                                                                  </w:divBdr>
                                                                  <w:divsChild>
                                                                    <w:div w:id="807355399">
                                                                      <w:marLeft w:val="0"/>
                                                                      <w:marRight w:val="0"/>
                                                                      <w:marTop w:val="0"/>
                                                                      <w:marBottom w:val="0"/>
                                                                      <w:divBdr>
                                                                        <w:top w:val="none" w:sz="0" w:space="0" w:color="auto"/>
                                                                        <w:left w:val="none" w:sz="0" w:space="0" w:color="auto"/>
                                                                        <w:bottom w:val="none" w:sz="0" w:space="0" w:color="auto"/>
                                                                        <w:right w:val="none" w:sz="0" w:space="0" w:color="auto"/>
                                                                      </w:divBdr>
                                                                      <w:divsChild>
                                                                        <w:div w:id="1866558966">
                                                                          <w:marLeft w:val="0"/>
                                                                          <w:marRight w:val="0"/>
                                                                          <w:marTop w:val="0"/>
                                                                          <w:marBottom w:val="0"/>
                                                                          <w:divBdr>
                                                                            <w:top w:val="none" w:sz="0" w:space="0" w:color="auto"/>
                                                                            <w:left w:val="none" w:sz="0" w:space="0" w:color="auto"/>
                                                                            <w:bottom w:val="none" w:sz="0" w:space="0" w:color="auto"/>
                                                                            <w:right w:val="none" w:sz="0" w:space="0" w:color="auto"/>
                                                                          </w:divBdr>
                                                                          <w:divsChild>
                                                                            <w:div w:id="707337524">
                                                                              <w:marLeft w:val="0"/>
                                                                              <w:marRight w:val="0"/>
                                                                              <w:marTop w:val="0"/>
                                                                              <w:marBottom w:val="0"/>
                                                                              <w:divBdr>
                                                                                <w:top w:val="none" w:sz="0" w:space="0" w:color="auto"/>
                                                                                <w:left w:val="none" w:sz="0" w:space="0" w:color="auto"/>
                                                                                <w:bottom w:val="none" w:sz="0" w:space="0" w:color="auto"/>
                                                                                <w:right w:val="none" w:sz="0" w:space="0" w:color="auto"/>
                                                                              </w:divBdr>
                                                                              <w:divsChild>
                                                                                <w:div w:id="1251037461">
                                                                                  <w:marLeft w:val="0"/>
                                                                                  <w:marRight w:val="0"/>
                                                                                  <w:marTop w:val="0"/>
                                                                                  <w:marBottom w:val="0"/>
                                                                                  <w:divBdr>
                                                                                    <w:top w:val="none" w:sz="0" w:space="0" w:color="auto"/>
                                                                                    <w:left w:val="none" w:sz="0" w:space="0" w:color="auto"/>
                                                                                    <w:bottom w:val="none" w:sz="0" w:space="0" w:color="auto"/>
                                                                                    <w:right w:val="none" w:sz="0" w:space="0" w:color="auto"/>
                                                                                  </w:divBdr>
                                                                                  <w:divsChild>
                                                                                    <w:div w:id="912348221">
                                                                                      <w:marLeft w:val="0"/>
                                                                                      <w:marRight w:val="0"/>
                                                                                      <w:marTop w:val="0"/>
                                                                                      <w:marBottom w:val="0"/>
                                                                                      <w:divBdr>
                                                                                        <w:top w:val="none" w:sz="0" w:space="0" w:color="auto"/>
                                                                                        <w:left w:val="none" w:sz="0" w:space="0" w:color="auto"/>
                                                                                        <w:bottom w:val="none" w:sz="0" w:space="0" w:color="auto"/>
                                                                                        <w:right w:val="none" w:sz="0" w:space="0" w:color="auto"/>
                                                                                      </w:divBdr>
                                                                                    </w:div>
                                                                                    <w:div w:id="10742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374161">
      <w:bodyDiv w:val="1"/>
      <w:marLeft w:val="0"/>
      <w:marRight w:val="0"/>
      <w:marTop w:val="0"/>
      <w:marBottom w:val="0"/>
      <w:divBdr>
        <w:top w:val="none" w:sz="0" w:space="0" w:color="auto"/>
        <w:left w:val="none" w:sz="0" w:space="0" w:color="auto"/>
        <w:bottom w:val="none" w:sz="0" w:space="0" w:color="auto"/>
        <w:right w:val="none" w:sz="0" w:space="0" w:color="auto"/>
      </w:divBdr>
    </w:div>
    <w:div w:id="276181291">
      <w:bodyDiv w:val="1"/>
      <w:marLeft w:val="0"/>
      <w:marRight w:val="0"/>
      <w:marTop w:val="0"/>
      <w:marBottom w:val="0"/>
      <w:divBdr>
        <w:top w:val="none" w:sz="0" w:space="0" w:color="auto"/>
        <w:left w:val="none" w:sz="0" w:space="0" w:color="auto"/>
        <w:bottom w:val="none" w:sz="0" w:space="0" w:color="auto"/>
        <w:right w:val="none" w:sz="0" w:space="0" w:color="auto"/>
      </w:divBdr>
    </w:div>
    <w:div w:id="340283102">
      <w:bodyDiv w:val="1"/>
      <w:marLeft w:val="0"/>
      <w:marRight w:val="0"/>
      <w:marTop w:val="0"/>
      <w:marBottom w:val="0"/>
      <w:divBdr>
        <w:top w:val="none" w:sz="0" w:space="0" w:color="auto"/>
        <w:left w:val="none" w:sz="0" w:space="0" w:color="auto"/>
        <w:bottom w:val="none" w:sz="0" w:space="0" w:color="auto"/>
        <w:right w:val="none" w:sz="0" w:space="0" w:color="auto"/>
      </w:divBdr>
    </w:div>
    <w:div w:id="428891185">
      <w:bodyDiv w:val="1"/>
      <w:marLeft w:val="0"/>
      <w:marRight w:val="0"/>
      <w:marTop w:val="0"/>
      <w:marBottom w:val="0"/>
      <w:divBdr>
        <w:top w:val="none" w:sz="0" w:space="0" w:color="auto"/>
        <w:left w:val="none" w:sz="0" w:space="0" w:color="auto"/>
        <w:bottom w:val="none" w:sz="0" w:space="0" w:color="auto"/>
        <w:right w:val="none" w:sz="0" w:space="0" w:color="auto"/>
      </w:divBdr>
    </w:div>
    <w:div w:id="475411760">
      <w:bodyDiv w:val="1"/>
      <w:marLeft w:val="0"/>
      <w:marRight w:val="0"/>
      <w:marTop w:val="0"/>
      <w:marBottom w:val="0"/>
      <w:divBdr>
        <w:top w:val="none" w:sz="0" w:space="0" w:color="auto"/>
        <w:left w:val="none" w:sz="0" w:space="0" w:color="auto"/>
        <w:bottom w:val="none" w:sz="0" w:space="0" w:color="auto"/>
        <w:right w:val="none" w:sz="0" w:space="0" w:color="auto"/>
      </w:divBdr>
    </w:div>
    <w:div w:id="476532635">
      <w:bodyDiv w:val="1"/>
      <w:marLeft w:val="0"/>
      <w:marRight w:val="0"/>
      <w:marTop w:val="0"/>
      <w:marBottom w:val="0"/>
      <w:divBdr>
        <w:top w:val="none" w:sz="0" w:space="0" w:color="auto"/>
        <w:left w:val="none" w:sz="0" w:space="0" w:color="auto"/>
        <w:bottom w:val="none" w:sz="0" w:space="0" w:color="auto"/>
        <w:right w:val="none" w:sz="0" w:space="0" w:color="auto"/>
      </w:divBdr>
    </w:div>
    <w:div w:id="489054881">
      <w:bodyDiv w:val="1"/>
      <w:marLeft w:val="0"/>
      <w:marRight w:val="0"/>
      <w:marTop w:val="0"/>
      <w:marBottom w:val="0"/>
      <w:divBdr>
        <w:top w:val="none" w:sz="0" w:space="0" w:color="auto"/>
        <w:left w:val="none" w:sz="0" w:space="0" w:color="auto"/>
        <w:bottom w:val="none" w:sz="0" w:space="0" w:color="auto"/>
        <w:right w:val="none" w:sz="0" w:space="0" w:color="auto"/>
      </w:divBdr>
    </w:div>
    <w:div w:id="542593632">
      <w:bodyDiv w:val="1"/>
      <w:marLeft w:val="0"/>
      <w:marRight w:val="0"/>
      <w:marTop w:val="0"/>
      <w:marBottom w:val="0"/>
      <w:divBdr>
        <w:top w:val="none" w:sz="0" w:space="0" w:color="auto"/>
        <w:left w:val="none" w:sz="0" w:space="0" w:color="auto"/>
        <w:bottom w:val="none" w:sz="0" w:space="0" w:color="auto"/>
        <w:right w:val="none" w:sz="0" w:space="0" w:color="auto"/>
      </w:divBdr>
    </w:div>
    <w:div w:id="605161353">
      <w:bodyDiv w:val="1"/>
      <w:marLeft w:val="0"/>
      <w:marRight w:val="0"/>
      <w:marTop w:val="0"/>
      <w:marBottom w:val="0"/>
      <w:divBdr>
        <w:top w:val="none" w:sz="0" w:space="0" w:color="auto"/>
        <w:left w:val="none" w:sz="0" w:space="0" w:color="auto"/>
        <w:bottom w:val="none" w:sz="0" w:space="0" w:color="auto"/>
        <w:right w:val="none" w:sz="0" w:space="0" w:color="auto"/>
      </w:divBdr>
    </w:div>
    <w:div w:id="655955422">
      <w:bodyDiv w:val="1"/>
      <w:marLeft w:val="0"/>
      <w:marRight w:val="0"/>
      <w:marTop w:val="0"/>
      <w:marBottom w:val="0"/>
      <w:divBdr>
        <w:top w:val="none" w:sz="0" w:space="0" w:color="auto"/>
        <w:left w:val="none" w:sz="0" w:space="0" w:color="auto"/>
        <w:bottom w:val="none" w:sz="0" w:space="0" w:color="auto"/>
        <w:right w:val="none" w:sz="0" w:space="0" w:color="auto"/>
      </w:divBdr>
      <w:divsChild>
        <w:div w:id="1550649519">
          <w:marLeft w:val="0"/>
          <w:marRight w:val="0"/>
          <w:marTop w:val="0"/>
          <w:marBottom w:val="0"/>
          <w:divBdr>
            <w:top w:val="none" w:sz="0" w:space="0" w:color="auto"/>
            <w:left w:val="none" w:sz="0" w:space="0" w:color="auto"/>
            <w:bottom w:val="none" w:sz="0" w:space="0" w:color="auto"/>
            <w:right w:val="none" w:sz="0" w:space="0" w:color="auto"/>
          </w:divBdr>
        </w:div>
      </w:divsChild>
    </w:div>
    <w:div w:id="796070398">
      <w:bodyDiv w:val="1"/>
      <w:marLeft w:val="0"/>
      <w:marRight w:val="0"/>
      <w:marTop w:val="0"/>
      <w:marBottom w:val="0"/>
      <w:divBdr>
        <w:top w:val="none" w:sz="0" w:space="0" w:color="auto"/>
        <w:left w:val="none" w:sz="0" w:space="0" w:color="auto"/>
        <w:bottom w:val="none" w:sz="0" w:space="0" w:color="auto"/>
        <w:right w:val="none" w:sz="0" w:space="0" w:color="auto"/>
      </w:divBdr>
    </w:div>
    <w:div w:id="849878367">
      <w:bodyDiv w:val="1"/>
      <w:marLeft w:val="0"/>
      <w:marRight w:val="0"/>
      <w:marTop w:val="0"/>
      <w:marBottom w:val="0"/>
      <w:divBdr>
        <w:top w:val="none" w:sz="0" w:space="0" w:color="auto"/>
        <w:left w:val="none" w:sz="0" w:space="0" w:color="auto"/>
        <w:bottom w:val="none" w:sz="0" w:space="0" w:color="auto"/>
        <w:right w:val="none" w:sz="0" w:space="0" w:color="auto"/>
      </w:divBdr>
    </w:div>
    <w:div w:id="930967882">
      <w:bodyDiv w:val="1"/>
      <w:marLeft w:val="0"/>
      <w:marRight w:val="0"/>
      <w:marTop w:val="0"/>
      <w:marBottom w:val="0"/>
      <w:divBdr>
        <w:top w:val="none" w:sz="0" w:space="0" w:color="auto"/>
        <w:left w:val="none" w:sz="0" w:space="0" w:color="auto"/>
        <w:bottom w:val="none" w:sz="0" w:space="0" w:color="auto"/>
        <w:right w:val="none" w:sz="0" w:space="0" w:color="auto"/>
      </w:divBdr>
    </w:div>
    <w:div w:id="932319339">
      <w:bodyDiv w:val="1"/>
      <w:marLeft w:val="0"/>
      <w:marRight w:val="0"/>
      <w:marTop w:val="0"/>
      <w:marBottom w:val="0"/>
      <w:divBdr>
        <w:top w:val="none" w:sz="0" w:space="0" w:color="auto"/>
        <w:left w:val="none" w:sz="0" w:space="0" w:color="auto"/>
        <w:bottom w:val="none" w:sz="0" w:space="0" w:color="auto"/>
        <w:right w:val="none" w:sz="0" w:space="0" w:color="auto"/>
      </w:divBdr>
    </w:div>
    <w:div w:id="988362873">
      <w:bodyDiv w:val="1"/>
      <w:marLeft w:val="0"/>
      <w:marRight w:val="0"/>
      <w:marTop w:val="0"/>
      <w:marBottom w:val="0"/>
      <w:divBdr>
        <w:top w:val="none" w:sz="0" w:space="0" w:color="auto"/>
        <w:left w:val="none" w:sz="0" w:space="0" w:color="auto"/>
        <w:bottom w:val="none" w:sz="0" w:space="0" w:color="auto"/>
        <w:right w:val="none" w:sz="0" w:space="0" w:color="auto"/>
      </w:divBdr>
    </w:div>
    <w:div w:id="1191651100">
      <w:bodyDiv w:val="1"/>
      <w:marLeft w:val="0"/>
      <w:marRight w:val="0"/>
      <w:marTop w:val="0"/>
      <w:marBottom w:val="0"/>
      <w:divBdr>
        <w:top w:val="none" w:sz="0" w:space="0" w:color="auto"/>
        <w:left w:val="none" w:sz="0" w:space="0" w:color="auto"/>
        <w:bottom w:val="none" w:sz="0" w:space="0" w:color="auto"/>
        <w:right w:val="none" w:sz="0" w:space="0" w:color="auto"/>
      </w:divBdr>
      <w:divsChild>
        <w:div w:id="1279022698">
          <w:marLeft w:val="0"/>
          <w:marRight w:val="0"/>
          <w:marTop w:val="0"/>
          <w:marBottom w:val="0"/>
          <w:divBdr>
            <w:top w:val="none" w:sz="0" w:space="0" w:color="auto"/>
            <w:left w:val="none" w:sz="0" w:space="0" w:color="auto"/>
            <w:bottom w:val="none" w:sz="0" w:space="0" w:color="auto"/>
            <w:right w:val="none" w:sz="0" w:space="0" w:color="auto"/>
          </w:divBdr>
        </w:div>
      </w:divsChild>
    </w:div>
    <w:div w:id="1222015248">
      <w:bodyDiv w:val="1"/>
      <w:marLeft w:val="0"/>
      <w:marRight w:val="0"/>
      <w:marTop w:val="0"/>
      <w:marBottom w:val="0"/>
      <w:divBdr>
        <w:top w:val="none" w:sz="0" w:space="0" w:color="auto"/>
        <w:left w:val="none" w:sz="0" w:space="0" w:color="auto"/>
        <w:bottom w:val="none" w:sz="0" w:space="0" w:color="auto"/>
        <w:right w:val="none" w:sz="0" w:space="0" w:color="auto"/>
      </w:divBdr>
    </w:div>
    <w:div w:id="1319261477">
      <w:bodyDiv w:val="1"/>
      <w:marLeft w:val="0"/>
      <w:marRight w:val="0"/>
      <w:marTop w:val="0"/>
      <w:marBottom w:val="0"/>
      <w:divBdr>
        <w:top w:val="none" w:sz="0" w:space="0" w:color="auto"/>
        <w:left w:val="none" w:sz="0" w:space="0" w:color="auto"/>
        <w:bottom w:val="none" w:sz="0" w:space="0" w:color="auto"/>
        <w:right w:val="none" w:sz="0" w:space="0" w:color="auto"/>
      </w:divBdr>
    </w:div>
    <w:div w:id="1392925088">
      <w:bodyDiv w:val="1"/>
      <w:marLeft w:val="0"/>
      <w:marRight w:val="0"/>
      <w:marTop w:val="0"/>
      <w:marBottom w:val="0"/>
      <w:divBdr>
        <w:top w:val="none" w:sz="0" w:space="0" w:color="auto"/>
        <w:left w:val="none" w:sz="0" w:space="0" w:color="auto"/>
        <w:bottom w:val="none" w:sz="0" w:space="0" w:color="auto"/>
        <w:right w:val="none" w:sz="0" w:space="0" w:color="auto"/>
      </w:divBdr>
    </w:div>
    <w:div w:id="1511871223">
      <w:bodyDiv w:val="1"/>
      <w:marLeft w:val="0"/>
      <w:marRight w:val="0"/>
      <w:marTop w:val="0"/>
      <w:marBottom w:val="0"/>
      <w:divBdr>
        <w:top w:val="none" w:sz="0" w:space="0" w:color="auto"/>
        <w:left w:val="none" w:sz="0" w:space="0" w:color="auto"/>
        <w:bottom w:val="none" w:sz="0" w:space="0" w:color="auto"/>
        <w:right w:val="none" w:sz="0" w:space="0" w:color="auto"/>
      </w:divBdr>
    </w:div>
    <w:div w:id="1669557507">
      <w:bodyDiv w:val="1"/>
      <w:marLeft w:val="0"/>
      <w:marRight w:val="0"/>
      <w:marTop w:val="0"/>
      <w:marBottom w:val="0"/>
      <w:divBdr>
        <w:top w:val="none" w:sz="0" w:space="0" w:color="auto"/>
        <w:left w:val="none" w:sz="0" w:space="0" w:color="auto"/>
        <w:bottom w:val="none" w:sz="0" w:space="0" w:color="auto"/>
        <w:right w:val="none" w:sz="0" w:space="0" w:color="auto"/>
      </w:divBdr>
    </w:div>
    <w:div w:id="1687947439">
      <w:bodyDiv w:val="1"/>
      <w:marLeft w:val="0"/>
      <w:marRight w:val="0"/>
      <w:marTop w:val="0"/>
      <w:marBottom w:val="0"/>
      <w:divBdr>
        <w:top w:val="none" w:sz="0" w:space="0" w:color="auto"/>
        <w:left w:val="none" w:sz="0" w:space="0" w:color="auto"/>
        <w:bottom w:val="none" w:sz="0" w:space="0" w:color="auto"/>
        <w:right w:val="none" w:sz="0" w:space="0" w:color="auto"/>
      </w:divBdr>
    </w:div>
    <w:div w:id="1757364923">
      <w:bodyDiv w:val="1"/>
      <w:marLeft w:val="0"/>
      <w:marRight w:val="0"/>
      <w:marTop w:val="0"/>
      <w:marBottom w:val="0"/>
      <w:divBdr>
        <w:top w:val="none" w:sz="0" w:space="0" w:color="auto"/>
        <w:left w:val="none" w:sz="0" w:space="0" w:color="auto"/>
        <w:bottom w:val="none" w:sz="0" w:space="0" w:color="auto"/>
        <w:right w:val="none" w:sz="0" w:space="0" w:color="auto"/>
      </w:divBdr>
    </w:div>
    <w:div w:id="1857886144">
      <w:bodyDiv w:val="1"/>
      <w:marLeft w:val="0"/>
      <w:marRight w:val="0"/>
      <w:marTop w:val="0"/>
      <w:marBottom w:val="0"/>
      <w:divBdr>
        <w:top w:val="none" w:sz="0" w:space="0" w:color="auto"/>
        <w:left w:val="none" w:sz="0" w:space="0" w:color="auto"/>
        <w:bottom w:val="none" w:sz="0" w:space="0" w:color="auto"/>
        <w:right w:val="none" w:sz="0" w:space="0" w:color="auto"/>
      </w:divBdr>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
    <w:div w:id="1886722886">
      <w:bodyDiv w:val="1"/>
      <w:marLeft w:val="0"/>
      <w:marRight w:val="0"/>
      <w:marTop w:val="0"/>
      <w:marBottom w:val="0"/>
      <w:divBdr>
        <w:top w:val="none" w:sz="0" w:space="0" w:color="auto"/>
        <w:left w:val="none" w:sz="0" w:space="0" w:color="auto"/>
        <w:bottom w:val="none" w:sz="0" w:space="0" w:color="auto"/>
        <w:right w:val="none" w:sz="0" w:space="0" w:color="auto"/>
      </w:divBdr>
    </w:div>
    <w:div w:id="1943146176">
      <w:bodyDiv w:val="1"/>
      <w:marLeft w:val="0"/>
      <w:marRight w:val="0"/>
      <w:marTop w:val="0"/>
      <w:marBottom w:val="0"/>
      <w:divBdr>
        <w:top w:val="none" w:sz="0" w:space="0" w:color="auto"/>
        <w:left w:val="none" w:sz="0" w:space="0" w:color="auto"/>
        <w:bottom w:val="none" w:sz="0" w:space="0" w:color="auto"/>
        <w:right w:val="none" w:sz="0" w:space="0" w:color="auto"/>
      </w:divBdr>
    </w:div>
    <w:div w:id="1973947585">
      <w:bodyDiv w:val="1"/>
      <w:marLeft w:val="0"/>
      <w:marRight w:val="0"/>
      <w:marTop w:val="0"/>
      <w:marBottom w:val="0"/>
      <w:divBdr>
        <w:top w:val="none" w:sz="0" w:space="0" w:color="auto"/>
        <w:left w:val="none" w:sz="0" w:space="0" w:color="auto"/>
        <w:bottom w:val="none" w:sz="0" w:space="0" w:color="auto"/>
        <w:right w:val="none" w:sz="0" w:space="0" w:color="auto"/>
      </w:divBdr>
    </w:div>
    <w:div w:id="20069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kke@ou.edu" TargetMode="Externa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alas@lehigh.edu"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hyperlink" Target="mailto:cfernando@ou.edu"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mailto:hamed@ou.ed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hart" Target="charts/chart4.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hm0254\Desktop\NewDesktop\Tor\Tab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hm0254\Desktop\NewDesktop\Tor\Tab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hm0254\Desktop\NewDesktop\Tor\Tab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hm0254\Desktop\NewDesktop\Tor\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latin typeface="Times New Roman" pitchFamily="18" charset="0"/>
                <a:cs typeface="Times New Roman" pitchFamily="18" charset="0"/>
              </a:rPr>
              <a:t>Vega</a:t>
            </a:r>
          </a:p>
        </c:rich>
      </c:tx>
      <c:layout>
        <c:manualLayout>
          <c:xMode val="edge"/>
          <c:yMode val="edge"/>
          <c:x val="0.43256973751707306"/>
          <c:y val="3.1495354737954812E-2"/>
        </c:manualLayout>
      </c:layout>
      <c:overlay val="1"/>
    </c:title>
    <c:plotArea>
      <c:layout>
        <c:manualLayout>
          <c:layoutTarget val="inner"/>
          <c:xMode val="edge"/>
          <c:yMode val="edge"/>
          <c:x val="0.16267268084846798"/>
          <c:y val="0.15785284271936267"/>
          <c:w val="0.63520154283268615"/>
          <c:h val="0.72049832835368599"/>
        </c:manualLayout>
      </c:layout>
      <c:scatterChart>
        <c:scatterStyle val="lineMarker"/>
        <c:ser>
          <c:idx val="0"/>
          <c:order val="0"/>
          <c:tx>
            <c:v>Treated 1</c:v>
          </c:tx>
          <c:spPr>
            <a:ln w="22225">
              <a:solidFill>
                <a:schemeClr val="tx1"/>
              </a:solidFill>
            </a:ln>
          </c:spPr>
          <c:marker>
            <c:symbol val="none"/>
          </c:marker>
          <c:xVal>
            <c:numRef>
              <c:f>Sheet1!$E$132:$H$132</c:f>
              <c:numCache>
                <c:formatCode>General</c:formatCode>
                <c:ptCount val="4"/>
                <c:pt idx="0">
                  <c:v>2003</c:v>
                </c:pt>
                <c:pt idx="1">
                  <c:v>2004</c:v>
                </c:pt>
                <c:pt idx="2">
                  <c:v>2005</c:v>
                </c:pt>
                <c:pt idx="3">
                  <c:v>2006</c:v>
                </c:pt>
              </c:numCache>
            </c:numRef>
          </c:xVal>
          <c:yVal>
            <c:numRef>
              <c:f>Sheet1!$E$205:$H$205</c:f>
              <c:numCache>
                <c:formatCode>General</c:formatCode>
                <c:ptCount val="4"/>
                <c:pt idx="0" formatCode="0.000">
                  <c:v>153.39220000000026</c:v>
                </c:pt>
                <c:pt idx="1">
                  <c:v>177.566</c:v>
                </c:pt>
                <c:pt idx="2">
                  <c:v>105.41480000000011</c:v>
                </c:pt>
                <c:pt idx="3">
                  <c:v>111.9589</c:v>
                </c:pt>
              </c:numCache>
            </c:numRef>
          </c:yVal>
        </c:ser>
        <c:ser>
          <c:idx val="1"/>
          <c:order val="1"/>
          <c:tx>
            <c:v>Control 1</c:v>
          </c:tx>
          <c:spPr>
            <a:ln w="15875">
              <a:solidFill>
                <a:schemeClr val="tx1"/>
              </a:solidFill>
              <a:prstDash val="sysDash"/>
            </a:ln>
          </c:spPr>
          <c:marker>
            <c:symbol val="none"/>
          </c:marker>
          <c:xVal>
            <c:numRef>
              <c:f>Sheet1!$I$132:$L$132</c:f>
              <c:numCache>
                <c:formatCode>General</c:formatCode>
                <c:ptCount val="4"/>
                <c:pt idx="0">
                  <c:v>2003</c:v>
                </c:pt>
                <c:pt idx="1">
                  <c:v>2004</c:v>
                </c:pt>
                <c:pt idx="2">
                  <c:v>2005</c:v>
                </c:pt>
                <c:pt idx="3">
                  <c:v>2006</c:v>
                </c:pt>
              </c:numCache>
            </c:numRef>
          </c:xVal>
          <c:yVal>
            <c:numRef>
              <c:f>Sheet1!$I$205:$L$205</c:f>
              <c:numCache>
                <c:formatCode>General</c:formatCode>
                <c:ptCount val="4"/>
                <c:pt idx="0">
                  <c:v>14.432040000000002</c:v>
                </c:pt>
                <c:pt idx="1">
                  <c:v>15.31029</c:v>
                </c:pt>
                <c:pt idx="2">
                  <c:v>41.54862</c:v>
                </c:pt>
                <c:pt idx="3">
                  <c:v>46.312330000000003</c:v>
                </c:pt>
              </c:numCache>
            </c:numRef>
          </c:yVal>
        </c:ser>
        <c:ser>
          <c:idx val="2"/>
          <c:order val="2"/>
          <c:tx>
            <c:v>Control 2</c:v>
          </c:tx>
          <c:spPr>
            <a:ln w="15875">
              <a:solidFill>
                <a:schemeClr val="tx1"/>
              </a:solidFill>
              <a:prstDash val="dash"/>
            </a:ln>
          </c:spPr>
          <c:marker>
            <c:symbol val="none"/>
          </c:marker>
          <c:xVal>
            <c:numRef>
              <c:f>Sheet1!$M$132:$P$132</c:f>
              <c:numCache>
                <c:formatCode>General</c:formatCode>
                <c:ptCount val="4"/>
                <c:pt idx="0">
                  <c:v>2003</c:v>
                </c:pt>
                <c:pt idx="1">
                  <c:v>2004</c:v>
                </c:pt>
                <c:pt idx="2">
                  <c:v>2005</c:v>
                </c:pt>
                <c:pt idx="3">
                  <c:v>2006</c:v>
                </c:pt>
              </c:numCache>
            </c:numRef>
          </c:xVal>
          <c:yVal>
            <c:numRef>
              <c:f>Sheet1!$M$205:$P$205</c:f>
              <c:numCache>
                <c:formatCode>General</c:formatCode>
                <c:ptCount val="4"/>
                <c:pt idx="0">
                  <c:v>97.510210000000129</c:v>
                </c:pt>
                <c:pt idx="1">
                  <c:v>92.818690000000004</c:v>
                </c:pt>
                <c:pt idx="2">
                  <c:v>125.11999999999999</c:v>
                </c:pt>
                <c:pt idx="3">
                  <c:v>129.3794</c:v>
                </c:pt>
              </c:numCache>
            </c:numRef>
          </c:yVal>
        </c:ser>
        <c:ser>
          <c:idx val="3"/>
          <c:order val="3"/>
          <c:tx>
            <c:v>Treated 2</c:v>
          </c:tx>
          <c:spPr>
            <a:ln w="22225">
              <a:solidFill>
                <a:schemeClr val="tx1"/>
              </a:solidFill>
              <a:prstDash val="lgDash"/>
            </a:ln>
          </c:spPr>
          <c:marker>
            <c:symbol val="none"/>
          </c:marker>
          <c:xVal>
            <c:numRef>
              <c:f>Sheet1!$Q$132:$T$132</c:f>
              <c:numCache>
                <c:formatCode>General</c:formatCode>
                <c:ptCount val="4"/>
                <c:pt idx="0">
                  <c:v>2003</c:v>
                </c:pt>
                <c:pt idx="1">
                  <c:v>2004</c:v>
                </c:pt>
                <c:pt idx="2">
                  <c:v>2005</c:v>
                </c:pt>
                <c:pt idx="3">
                  <c:v>2006</c:v>
                </c:pt>
              </c:numCache>
            </c:numRef>
          </c:xVal>
          <c:yVal>
            <c:numRef>
              <c:f>Sheet1!$Q$205:$T$205</c:f>
              <c:numCache>
                <c:formatCode>General</c:formatCode>
                <c:ptCount val="4"/>
                <c:pt idx="0">
                  <c:v>123.2268</c:v>
                </c:pt>
                <c:pt idx="1">
                  <c:v>146.85770000000022</c:v>
                </c:pt>
                <c:pt idx="2">
                  <c:v>76.346540000000005</c:v>
                </c:pt>
                <c:pt idx="3">
                  <c:v>84.269880000000001</c:v>
                </c:pt>
              </c:numCache>
            </c:numRef>
          </c:yVal>
        </c:ser>
        <c:axId val="106912384"/>
        <c:axId val="106923136"/>
      </c:scatterChart>
      <c:valAx>
        <c:axId val="106912384"/>
        <c:scaling>
          <c:orientation val="minMax"/>
          <c:max val="2007"/>
          <c:min val="2002"/>
        </c:scaling>
        <c:axPos val="b"/>
        <c:numFmt formatCode="General" sourceLinked="1"/>
        <c:tickLblPos val="nextTo"/>
        <c:txPr>
          <a:bodyPr/>
          <a:lstStyle/>
          <a:p>
            <a:pPr>
              <a:defRPr baseline="0">
                <a:latin typeface="Times New Roman" pitchFamily="18" charset="0"/>
              </a:defRPr>
            </a:pPr>
            <a:endParaRPr lang="en-US"/>
          </a:p>
        </c:txPr>
        <c:crossAx val="106923136"/>
        <c:crosses val="autoZero"/>
        <c:crossBetween val="midCat"/>
        <c:majorUnit val="1"/>
        <c:minorUnit val="0.1"/>
      </c:valAx>
      <c:valAx>
        <c:axId val="106923136"/>
        <c:scaling>
          <c:orientation val="minMax"/>
        </c:scaling>
        <c:axPos val="l"/>
        <c:majorGridlines>
          <c:spPr>
            <a:ln>
              <a:noFill/>
            </a:ln>
          </c:spPr>
        </c:majorGridlines>
        <c:title>
          <c:tx>
            <c:rich>
              <a:bodyPr rot="-5400000" vert="horz"/>
              <a:lstStyle/>
              <a:p>
                <a:pPr>
                  <a:defRPr baseline="0">
                    <a:latin typeface="Times New Roman" pitchFamily="18" charset="0"/>
                    <a:cs typeface="Arial" pitchFamily="34" charset="0"/>
                  </a:defRPr>
                </a:pPr>
                <a:r>
                  <a:rPr lang="en-US" b="0" baseline="0">
                    <a:latin typeface="Times New Roman" pitchFamily="18" charset="0"/>
                    <a:cs typeface="Arial" pitchFamily="34" charset="0"/>
                  </a:rPr>
                  <a:t>Mean</a:t>
                </a:r>
              </a:p>
            </c:rich>
          </c:tx>
          <c:layout>
            <c:manualLayout>
              <c:xMode val="edge"/>
              <c:yMode val="edge"/>
              <c:x val="4.9704684921662336E-3"/>
              <c:y val="0.42349836871964247"/>
            </c:manualLayout>
          </c:layout>
        </c:title>
        <c:numFmt formatCode="0" sourceLinked="0"/>
        <c:tickLblPos val="nextTo"/>
        <c:txPr>
          <a:bodyPr/>
          <a:lstStyle/>
          <a:p>
            <a:pPr>
              <a:defRPr baseline="0">
                <a:latin typeface="Times New Roman" pitchFamily="18" charset="0"/>
              </a:defRPr>
            </a:pPr>
            <a:endParaRPr lang="en-US"/>
          </a:p>
        </c:txPr>
        <c:crossAx val="106912384"/>
        <c:crosses val="autoZero"/>
        <c:crossBetween val="midCat"/>
      </c:valAx>
      <c:spPr>
        <a:ln>
          <a:solidFill>
            <a:schemeClr val="tx1"/>
          </a:solidFill>
        </a:ln>
      </c:spPr>
    </c:plotArea>
    <c:legend>
      <c:legendPos val="r"/>
      <c:layout>
        <c:manualLayout>
          <c:xMode val="edge"/>
          <c:yMode val="edge"/>
          <c:x val="0.80606385817898962"/>
          <c:y val="0.34635938023385421"/>
          <c:w val="0.19116701785845122"/>
          <c:h val="0.32526887621885819"/>
        </c:manualLayout>
      </c:layout>
      <c:txPr>
        <a:bodyPr/>
        <a:lstStyle/>
        <a:p>
          <a:pPr>
            <a:defRPr baseline="0">
              <a:latin typeface="Times New Roman" pitchFamily="18" charset="0"/>
            </a:defRPr>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400"/>
              <a:t>Option Pay/Total Pay</a:t>
            </a:r>
          </a:p>
        </c:rich>
      </c:tx>
      <c:layout>
        <c:manualLayout>
          <c:xMode val="edge"/>
          <c:yMode val="edge"/>
          <c:x val="0.26422347519237482"/>
          <c:y val="2.7067349659772429E-2"/>
        </c:manualLayout>
      </c:layout>
      <c:overlay val="1"/>
    </c:title>
    <c:plotArea>
      <c:layout>
        <c:manualLayout>
          <c:layoutTarget val="inner"/>
          <c:xMode val="edge"/>
          <c:yMode val="edge"/>
          <c:x val="0.15778394832471271"/>
          <c:y val="0.15794988747611943"/>
          <c:w val="0.64722944382210745"/>
          <c:h val="0.72049832835368643"/>
        </c:manualLayout>
      </c:layout>
      <c:scatterChart>
        <c:scatterStyle val="lineMarker"/>
        <c:ser>
          <c:idx val="0"/>
          <c:order val="0"/>
          <c:tx>
            <c:v>Treated 1</c:v>
          </c:tx>
          <c:spPr>
            <a:ln w="22225">
              <a:solidFill>
                <a:schemeClr val="tx1"/>
              </a:solidFill>
            </a:ln>
          </c:spPr>
          <c:marker>
            <c:symbol val="none"/>
          </c:marker>
          <c:xVal>
            <c:numRef>
              <c:f>Sheet1!$E$132:$H$132</c:f>
              <c:numCache>
                <c:formatCode>General</c:formatCode>
                <c:ptCount val="4"/>
                <c:pt idx="0">
                  <c:v>2003</c:v>
                </c:pt>
                <c:pt idx="1">
                  <c:v>2004</c:v>
                </c:pt>
                <c:pt idx="2">
                  <c:v>2005</c:v>
                </c:pt>
                <c:pt idx="3">
                  <c:v>2006</c:v>
                </c:pt>
              </c:numCache>
            </c:numRef>
          </c:xVal>
          <c:yVal>
            <c:numRef>
              <c:f>Sheet1!$E$206:$H$206</c:f>
              <c:numCache>
                <c:formatCode>General</c:formatCode>
                <c:ptCount val="4"/>
                <c:pt idx="0">
                  <c:v>0.34742000000000073</c:v>
                </c:pt>
                <c:pt idx="1">
                  <c:v>0.34517950000000008</c:v>
                </c:pt>
                <c:pt idx="2">
                  <c:v>0.1701059</c:v>
                </c:pt>
                <c:pt idx="3">
                  <c:v>0.27225058000000002</c:v>
                </c:pt>
              </c:numCache>
            </c:numRef>
          </c:yVal>
        </c:ser>
        <c:ser>
          <c:idx val="1"/>
          <c:order val="1"/>
          <c:tx>
            <c:v>Control 1</c:v>
          </c:tx>
          <c:spPr>
            <a:ln w="15875">
              <a:solidFill>
                <a:schemeClr val="tx1"/>
              </a:solidFill>
              <a:prstDash val="sysDash"/>
            </a:ln>
          </c:spPr>
          <c:marker>
            <c:symbol val="none"/>
          </c:marker>
          <c:xVal>
            <c:numRef>
              <c:f>Sheet1!$I$132:$L$132</c:f>
              <c:numCache>
                <c:formatCode>General</c:formatCode>
                <c:ptCount val="4"/>
                <c:pt idx="0">
                  <c:v>2003</c:v>
                </c:pt>
                <c:pt idx="1">
                  <c:v>2004</c:v>
                </c:pt>
                <c:pt idx="2">
                  <c:v>2005</c:v>
                </c:pt>
                <c:pt idx="3">
                  <c:v>2006</c:v>
                </c:pt>
              </c:numCache>
            </c:numRef>
          </c:xVal>
          <c:yVal>
            <c:numRef>
              <c:f>Sheet1!$I$206:$L$206</c:f>
              <c:numCache>
                <c:formatCode>General</c:formatCode>
                <c:ptCount val="4"/>
                <c:pt idx="0">
                  <c:v>0</c:v>
                </c:pt>
                <c:pt idx="1">
                  <c:v>0</c:v>
                </c:pt>
                <c:pt idx="2">
                  <c:v>4.6772899999999999E-2</c:v>
                </c:pt>
                <c:pt idx="3">
                  <c:v>6.6728999999999997E-2</c:v>
                </c:pt>
              </c:numCache>
            </c:numRef>
          </c:yVal>
        </c:ser>
        <c:ser>
          <c:idx val="2"/>
          <c:order val="2"/>
          <c:tx>
            <c:v>Control 2</c:v>
          </c:tx>
          <c:spPr>
            <a:ln w="15875">
              <a:solidFill>
                <a:schemeClr val="tx1"/>
              </a:solidFill>
              <a:prstDash val="dash"/>
            </a:ln>
          </c:spPr>
          <c:marker>
            <c:symbol val="none"/>
          </c:marker>
          <c:xVal>
            <c:numRef>
              <c:f>Sheet1!$M$132:$P$132</c:f>
              <c:numCache>
                <c:formatCode>General</c:formatCode>
                <c:ptCount val="4"/>
                <c:pt idx="0">
                  <c:v>2003</c:v>
                </c:pt>
                <c:pt idx="1">
                  <c:v>2004</c:v>
                </c:pt>
                <c:pt idx="2">
                  <c:v>2005</c:v>
                </c:pt>
                <c:pt idx="3">
                  <c:v>2006</c:v>
                </c:pt>
              </c:numCache>
            </c:numRef>
          </c:xVal>
          <c:yVal>
            <c:numRef>
              <c:f>Sheet1!$M$206:$P$206</c:f>
              <c:numCache>
                <c:formatCode>General</c:formatCode>
                <c:ptCount val="4"/>
                <c:pt idx="0">
                  <c:v>0.22676399999999999</c:v>
                </c:pt>
                <c:pt idx="1">
                  <c:v>0.19353200000000001</c:v>
                </c:pt>
                <c:pt idx="2">
                  <c:v>0.28009340000000005</c:v>
                </c:pt>
                <c:pt idx="3">
                  <c:v>0.28200000000000008</c:v>
                </c:pt>
              </c:numCache>
            </c:numRef>
          </c:yVal>
        </c:ser>
        <c:ser>
          <c:idx val="3"/>
          <c:order val="3"/>
          <c:tx>
            <c:v>Treated 2</c:v>
          </c:tx>
          <c:spPr>
            <a:ln w="22225">
              <a:solidFill>
                <a:schemeClr val="tx1"/>
              </a:solidFill>
              <a:prstDash val="lgDash"/>
            </a:ln>
          </c:spPr>
          <c:marker>
            <c:symbol val="none"/>
          </c:marker>
          <c:xVal>
            <c:numRef>
              <c:f>Sheet1!$Q$132:$T$132</c:f>
              <c:numCache>
                <c:formatCode>General</c:formatCode>
                <c:ptCount val="4"/>
                <c:pt idx="0">
                  <c:v>2003</c:v>
                </c:pt>
                <c:pt idx="1">
                  <c:v>2004</c:v>
                </c:pt>
                <c:pt idx="2">
                  <c:v>2005</c:v>
                </c:pt>
                <c:pt idx="3">
                  <c:v>2006</c:v>
                </c:pt>
              </c:numCache>
            </c:numRef>
          </c:xVal>
          <c:yVal>
            <c:numRef>
              <c:f>Sheet1!$Q$206:$T$206</c:f>
              <c:numCache>
                <c:formatCode>General</c:formatCode>
                <c:ptCount val="4"/>
                <c:pt idx="0">
                  <c:v>0.26911250000000031</c:v>
                </c:pt>
                <c:pt idx="1">
                  <c:v>0.263706</c:v>
                </c:pt>
                <c:pt idx="2">
                  <c:v>0.14625099999999999</c:v>
                </c:pt>
                <c:pt idx="3">
                  <c:v>0.1938898</c:v>
                </c:pt>
              </c:numCache>
            </c:numRef>
          </c:yVal>
        </c:ser>
        <c:axId val="165413248"/>
        <c:axId val="165415552"/>
      </c:scatterChart>
      <c:valAx>
        <c:axId val="165413248"/>
        <c:scaling>
          <c:orientation val="minMax"/>
          <c:max val="2007"/>
          <c:min val="2002"/>
        </c:scaling>
        <c:axPos val="b"/>
        <c:numFmt formatCode="General" sourceLinked="1"/>
        <c:tickLblPos val="nextTo"/>
        <c:crossAx val="165415552"/>
        <c:crosses val="autoZero"/>
        <c:crossBetween val="midCat"/>
        <c:majorUnit val="1"/>
        <c:minorUnit val="0.1"/>
      </c:valAx>
      <c:valAx>
        <c:axId val="165415552"/>
        <c:scaling>
          <c:orientation val="minMax"/>
          <c:max val="0.4"/>
          <c:min val="0"/>
        </c:scaling>
        <c:axPos val="l"/>
        <c:majorGridlines>
          <c:spPr>
            <a:ln>
              <a:noFill/>
            </a:ln>
          </c:spPr>
        </c:majorGridlines>
        <c:title>
          <c:tx>
            <c:rich>
              <a:bodyPr rot="-5400000" vert="horz"/>
              <a:lstStyle/>
              <a:p>
                <a:pPr>
                  <a:defRPr/>
                </a:pPr>
                <a:r>
                  <a:rPr lang="en-US"/>
                  <a:t>Mean</a:t>
                </a:r>
              </a:p>
            </c:rich>
          </c:tx>
          <c:layout>
            <c:manualLayout>
              <c:xMode val="edge"/>
              <c:yMode val="edge"/>
              <c:x val="4.9704684921662431E-3"/>
              <c:y val="0.42349836871964297"/>
            </c:manualLayout>
          </c:layout>
        </c:title>
        <c:numFmt formatCode="0.00" sourceLinked="0"/>
        <c:tickLblPos val="nextTo"/>
        <c:crossAx val="165413248"/>
        <c:crosses val="autoZero"/>
        <c:crossBetween val="midCat"/>
        <c:majorUnit val="5.0000000000000024E-2"/>
        <c:minorUnit val="1.0000000000000005E-2"/>
      </c:valAx>
      <c:spPr>
        <a:ln>
          <a:solidFill>
            <a:schemeClr val="tx1"/>
          </a:solidFill>
        </a:ln>
      </c:spPr>
    </c:plotArea>
    <c:legend>
      <c:legendPos val="r"/>
      <c:layout>
        <c:manualLayout>
          <c:xMode val="edge"/>
          <c:yMode val="edge"/>
          <c:x val="0.80606377627440084"/>
          <c:y val="0.34657213834328732"/>
          <c:w val="0.19116701785845114"/>
          <c:h val="0.32526887621885869"/>
        </c:manualLayout>
      </c:layout>
    </c:legend>
    <c:plotVisOnly val="1"/>
    <c:dispBlanksAs val="gap"/>
  </c:chart>
  <c:spPr>
    <a:ln>
      <a:noFill/>
    </a:ln>
  </c:spPr>
  <c:txPr>
    <a:bodyPr/>
    <a:lstStyle/>
    <a:p>
      <a:pPr>
        <a:defRPr baseline="0">
          <a:latin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400"/>
              <a:t>Hedge Ratio 1</a:t>
            </a:r>
          </a:p>
        </c:rich>
      </c:tx>
      <c:overlay val="1"/>
    </c:title>
    <c:plotArea>
      <c:layout>
        <c:manualLayout>
          <c:layoutTarget val="inner"/>
          <c:xMode val="edge"/>
          <c:yMode val="edge"/>
          <c:x val="0.15667943225545389"/>
          <c:y val="0.16234975189100362"/>
          <c:w val="0.62684375686830085"/>
          <c:h val="0.72049832835368599"/>
        </c:manualLayout>
      </c:layout>
      <c:scatterChart>
        <c:scatterStyle val="lineMarker"/>
        <c:ser>
          <c:idx val="0"/>
          <c:order val="0"/>
          <c:tx>
            <c:v>Treated 1</c:v>
          </c:tx>
          <c:spPr>
            <a:ln w="22225">
              <a:solidFill>
                <a:schemeClr val="tx1"/>
              </a:solidFill>
              <a:prstDash val="lgDash"/>
            </a:ln>
          </c:spPr>
          <c:marker>
            <c:symbol val="none"/>
          </c:marker>
          <c:xVal>
            <c:numRef>
              <c:f>Sheet1!$E$132:$H$132</c:f>
              <c:numCache>
                <c:formatCode>General</c:formatCode>
                <c:ptCount val="4"/>
                <c:pt idx="0">
                  <c:v>2003</c:v>
                </c:pt>
                <c:pt idx="1">
                  <c:v>2004</c:v>
                </c:pt>
                <c:pt idx="2">
                  <c:v>2005</c:v>
                </c:pt>
                <c:pt idx="3">
                  <c:v>2006</c:v>
                </c:pt>
              </c:numCache>
            </c:numRef>
          </c:xVal>
          <c:yVal>
            <c:numRef>
              <c:f>Sheet1!$E$133:$H$133</c:f>
              <c:numCache>
                <c:formatCode>General</c:formatCode>
                <c:ptCount val="4"/>
                <c:pt idx="0" formatCode="0.000">
                  <c:v>0.18792610000000032</c:v>
                </c:pt>
                <c:pt idx="1">
                  <c:v>0.17584620000000029</c:v>
                </c:pt>
                <c:pt idx="2">
                  <c:v>0.23595780000000022</c:v>
                </c:pt>
                <c:pt idx="3">
                  <c:v>0.29622980000000032</c:v>
                </c:pt>
              </c:numCache>
            </c:numRef>
          </c:yVal>
        </c:ser>
        <c:ser>
          <c:idx val="1"/>
          <c:order val="1"/>
          <c:tx>
            <c:v>Control 1</c:v>
          </c:tx>
          <c:spPr>
            <a:ln w="15875">
              <a:solidFill>
                <a:schemeClr val="tx1"/>
              </a:solidFill>
              <a:prstDash val="sysDash"/>
            </a:ln>
          </c:spPr>
          <c:marker>
            <c:symbol val="none"/>
          </c:marker>
          <c:xVal>
            <c:numRef>
              <c:f>Sheet1!$I$132:$L$132</c:f>
              <c:numCache>
                <c:formatCode>General</c:formatCode>
                <c:ptCount val="4"/>
                <c:pt idx="0">
                  <c:v>2003</c:v>
                </c:pt>
                <c:pt idx="1">
                  <c:v>2004</c:v>
                </c:pt>
                <c:pt idx="2">
                  <c:v>2005</c:v>
                </c:pt>
                <c:pt idx="3">
                  <c:v>2006</c:v>
                </c:pt>
              </c:numCache>
            </c:numRef>
          </c:xVal>
          <c:yVal>
            <c:numRef>
              <c:f>Sheet1!$I$133:$L$133</c:f>
              <c:numCache>
                <c:formatCode>General</c:formatCode>
                <c:ptCount val="4"/>
                <c:pt idx="0">
                  <c:v>0.24051400000000028</c:v>
                </c:pt>
                <c:pt idx="1">
                  <c:v>0.24323630000000038</c:v>
                </c:pt>
                <c:pt idx="2">
                  <c:v>0.19835839999999999</c:v>
                </c:pt>
                <c:pt idx="3">
                  <c:v>0.17394240000000044</c:v>
                </c:pt>
              </c:numCache>
            </c:numRef>
          </c:yVal>
        </c:ser>
        <c:ser>
          <c:idx val="2"/>
          <c:order val="2"/>
          <c:tx>
            <c:v>Control 2</c:v>
          </c:tx>
          <c:spPr>
            <a:ln w="15875">
              <a:solidFill>
                <a:schemeClr val="tx1"/>
              </a:solidFill>
              <a:prstDash val="dash"/>
            </a:ln>
          </c:spPr>
          <c:marker>
            <c:symbol val="none"/>
          </c:marker>
          <c:xVal>
            <c:numRef>
              <c:f>Sheet1!$M$132:$P$132</c:f>
              <c:numCache>
                <c:formatCode>General</c:formatCode>
                <c:ptCount val="4"/>
                <c:pt idx="0">
                  <c:v>2003</c:v>
                </c:pt>
                <c:pt idx="1">
                  <c:v>2004</c:v>
                </c:pt>
                <c:pt idx="2">
                  <c:v>2005</c:v>
                </c:pt>
                <c:pt idx="3">
                  <c:v>2006</c:v>
                </c:pt>
              </c:numCache>
            </c:numRef>
          </c:xVal>
          <c:yVal>
            <c:numRef>
              <c:f>Sheet1!$M$133:$P$133</c:f>
              <c:numCache>
                <c:formatCode>General</c:formatCode>
                <c:ptCount val="4"/>
                <c:pt idx="0">
                  <c:v>0.21356000000000025</c:v>
                </c:pt>
                <c:pt idx="1">
                  <c:v>0.22340640000000028</c:v>
                </c:pt>
                <c:pt idx="2">
                  <c:v>0.11933343</c:v>
                </c:pt>
                <c:pt idx="3">
                  <c:v>0.1236889</c:v>
                </c:pt>
              </c:numCache>
            </c:numRef>
          </c:yVal>
        </c:ser>
        <c:ser>
          <c:idx val="3"/>
          <c:order val="3"/>
          <c:tx>
            <c:v>Treated 2</c:v>
          </c:tx>
          <c:spPr>
            <a:ln w="22225">
              <a:solidFill>
                <a:schemeClr val="tx1"/>
              </a:solidFill>
            </a:ln>
          </c:spPr>
          <c:marker>
            <c:symbol val="none"/>
          </c:marker>
          <c:xVal>
            <c:numRef>
              <c:f>Sheet1!$Q$132:$T$132</c:f>
              <c:numCache>
                <c:formatCode>General</c:formatCode>
                <c:ptCount val="4"/>
                <c:pt idx="0">
                  <c:v>2003</c:v>
                </c:pt>
                <c:pt idx="1">
                  <c:v>2004</c:v>
                </c:pt>
                <c:pt idx="2">
                  <c:v>2005</c:v>
                </c:pt>
                <c:pt idx="3">
                  <c:v>2006</c:v>
                </c:pt>
              </c:numCache>
            </c:numRef>
          </c:xVal>
          <c:yVal>
            <c:numRef>
              <c:f>Sheet1!$Q$133:$T$133</c:f>
              <c:numCache>
                <c:formatCode>General</c:formatCode>
                <c:ptCount val="4"/>
                <c:pt idx="0">
                  <c:v>0.18984010000000032</c:v>
                </c:pt>
                <c:pt idx="1">
                  <c:v>0.19341090000000022</c:v>
                </c:pt>
                <c:pt idx="2">
                  <c:v>0.25251170000000001</c:v>
                </c:pt>
                <c:pt idx="3">
                  <c:v>0.34330340000000031</c:v>
                </c:pt>
              </c:numCache>
            </c:numRef>
          </c:yVal>
        </c:ser>
        <c:axId val="95538176"/>
        <c:axId val="106889984"/>
      </c:scatterChart>
      <c:valAx>
        <c:axId val="95538176"/>
        <c:scaling>
          <c:orientation val="minMax"/>
          <c:max val="2007"/>
          <c:min val="2002"/>
        </c:scaling>
        <c:axPos val="b"/>
        <c:numFmt formatCode="General" sourceLinked="1"/>
        <c:tickLblPos val="nextTo"/>
        <c:crossAx val="106889984"/>
        <c:crosses val="autoZero"/>
        <c:crossBetween val="midCat"/>
        <c:majorUnit val="1"/>
        <c:minorUnit val="0.1"/>
      </c:valAx>
      <c:valAx>
        <c:axId val="106889984"/>
        <c:scaling>
          <c:orientation val="minMax"/>
          <c:max val="0.35000000000000031"/>
        </c:scaling>
        <c:axPos val="l"/>
        <c:majorGridlines>
          <c:spPr>
            <a:ln>
              <a:noFill/>
            </a:ln>
          </c:spPr>
        </c:majorGridlines>
        <c:title>
          <c:tx>
            <c:rich>
              <a:bodyPr rot="-5400000" vert="horz"/>
              <a:lstStyle/>
              <a:p>
                <a:pPr>
                  <a:defRPr/>
                </a:pPr>
                <a:r>
                  <a:rPr lang="en-US"/>
                  <a:t>Mean</a:t>
                </a:r>
              </a:p>
            </c:rich>
          </c:tx>
          <c:layout>
            <c:manualLayout>
              <c:xMode val="edge"/>
              <c:yMode val="edge"/>
              <c:x val="4.9704684921662336E-3"/>
              <c:y val="0.42349836871964247"/>
            </c:manualLayout>
          </c:layout>
        </c:title>
        <c:numFmt formatCode="0.000" sourceLinked="1"/>
        <c:tickLblPos val="nextTo"/>
        <c:crossAx val="95538176"/>
        <c:crosses val="autoZero"/>
        <c:crossBetween val="midCat"/>
      </c:valAx>
      <c:spPr>
        <a:ln>
          <a:solidFill>
            <a:schemeClr val="tx1"/>
          </a:solidFill>
        </a:ln>
      </c:spPr>
    </c:plotArea>
    <c:legend>
      <c:legendPos val="r"/>
      <c:layout>
        <c:manualLayout>
          <c:xMode val="edge"/>
          <c:yMode val="edge"/>
          <c:x val="0.80606385817898962"/>
          <c:y val="0.34635938023385415"/>
          <c:w val="0.19116701785845114"/>
          <c:h val="0.32526887621885819"/>
        </c:manualLayout>
      </c:layout>
    </c:legend>
    <c:plotVisOnly val="1"/>
    <c:dispBlanksAs val="gap"/>
  </c:chart>
  <c:spPr>
    <a:ln>
      <a:noFill/>
    </a:ln>
  </c:spPr>
  <c:txPr>
    <a:bodyPr/>
    <a:lstStyle/>
    <a:p>
      <a:pPr>
        <a:defRPr baseline="0">
          <a:latin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pPr>
            <a:r>
              <a:rPr lang="en-US" sz="1400" b="1" i="0" baseline="0">
                <a:effectLst/>
                <a:latin typeface="Times New Roman" pitchFamily="18" charset="0"/>
                <a:cs typeface="Times New Roman" pitchFamily="18" charset="0"/>
              </a:rPr>
              <a:t>Hedge Ratio 2</a:t>
            </a:r>
            <a:endParaRPr lang="en-US" sz="1400">
              <a:effectLst/>
              <a:latin typeface="Times New Roman" pitchFamily="18" charset="0"/>
              <a:cs typeface="Times New Roman" pitchFamily="18" charset="0"/>
            </a:endParaRPr>
          </a:p>
        </c:rich>
      </c:tx>
      <c:overlay val="1"/>
    </c:title>
    <c:plotArea>
      <c:layout>
        <c:manualLayout>
          <c:layoutTarget val="inner"/>
          <c:xMode val="edge"/>
          <c:yMode val="edge"/>
          <c:x val="0.15648559357807479"/>
          <c:y val="0.15785284271936267"/>
          <c:w val="0.64088321535847925"/>
          <c:h val="0.70700760083876213"/>
        </c:manualLayout>
      </c:layout>
      <c:scatterChart>
        <c:scatterStyle val="lineMarker"/>
        <c:ser>
          <c:idx val="0"/>
          <c:order val="0"/>
          <c:tx>
            <c:v>Treated 1</c:v>
          </c:tx>
          <c:spPr>
            <a:ln w="22225">
              <a:solidFill>
                <a:schemeClr val="tx1"/>
              </a:solidFill>
              <a:prstDash val="lgDash"/>
            </a:ln>
          </c:spPr>
          <c:marker>
            <c:symbol val="none"/>
          </c:marker>
          <c:xVal>
            <c:numRef>
              <c:f>Sheet1!$E$132:$H$132</c:f>
              <c:numCache>
                <c:formatCode>General</c:formatCode>
                <c:ptCount val="4"/>
                <c:pt idx="0">
                  <c:v>2003</c:v>
                </c:pt>
                <c:pt idx="1">
                  <c:v>2004</c:v>
                </c:pt>
                <c:pt idx="2">
                  <c:v>2005</c:v>
                </c:pt>
                <c:pt idx="3">
                  <c:v>2006</c:v>
                </c:pt>
              </c:numCache>
            </c:numRef>
          </c:xVal>
          <c:yVal>
            <c:numRef>
              <c:f>Sheet1!$E$134:$H$134</c:f>
              <c:numCache>
                <c:formatCode>General</c:formatCode>
                <c:ptCount val="4"/>
                <c:pt idx="0">
                  <c:v>1.6493399999999998E-2</c:v>
                </c:pt>
                <c:pt idx="1">
                  <c:v>1.6022900000000003E-2</c:v>
                </c:pt>
                <c:pt idx="2">
                  <c:v>2.33329E-2</c:v>
                </c:pt>
                <c:pt idx="3">
                  <c:v>4.1379399999999976E-2</c:v>
                </c:pt>
              </c:numCache>
            </c:numRef>
          </c:yVal>
        </c:ser>
        <c:ser>
          <c:idx val="1"/>
          <c:order val="1"/>
          <c:tx>
            <c:v>Control 1</c:v>
          </c:tx>
          <c:spPr>
            <a:ln w="15875">
              <a:solidFill>
                <a:schemeClr val="tx1"/>
              </a:solidFill>
              <a:prstDash val="sysDash"/>
            </a:ln>
          </c:spPr>
          <c:marker>
            <c:symbol val="none"/>
          </c:marker>
          <c:xVal>
            <c:numRef>
              <c:f>Sheet1!$I$132:$L$132</c:f>
              <c:numCache>
                <c:formatCode>General</c:formatCode>
                <c:ptCount val="4"/>
                <c:pt idx="0">
                  <c:v>2003</c:v>
                </c:pt>
                <c:pt idx="1">
                  <c:v>2004</c:v>
                </c:pt>
                <c:pt idx="2">
                  <c:v>2005</c:v>
                </c:pt>
                <c:pt idx="3">
                  <c:v>2006</c:v>
                </c:pt>
              </c:numCache>
            </c:numRef>
          </c:xVal>
          <c:yVal>
            <c:numRef>
              <c:f>Sheet1!$I$134:$L$134</c:f>
              <c:numCache>
                <c:formatCode>General</c:formatCode>
                <c:ptCount val="4"/>
                <c:pt idx="0">
                  <c:v>1.79758E-2</c:v>
                </c:pt>
                <c:pt idx="1">
                  <c:v>1.60269E-2</c:v>
                </c:pt>
                <c:pt idx="2">
                  <c:v>1.7399100000000001E-2</c:v>
                </c:pt>
                <c:pt idx="3">
                  <c:v>1.5391500000000018E-2</c:v>
                </c:pt>
              </c:numCache>
            </c:numRef>
          </c:yVal>
        </c:ser>
        <c:ser>
          <c:idx val="2"/>
          <c:order val="2"/>
          <c:tx>
            <c:v>Control 2</c:v>
          </c:tx>
          <c:spPr>
            <a:ln w="15875">
              <a:solidFill>
                <a:schemeClr val="tx1"/>
              </a:solidFill>
              <a:prstDash val="dash"/>
            </a:ln>
          </c:spPr>
          <c:marker>
            <c:symbol val="none"/>
          </c:marker>
          <c:xVal>
            <c:numRef>
              <c:f>Sheet1!$M$132:$P$132</c:f>
              <c:numCache>
                <c:formatCode>General</c:formatCode>
                <c:ptCount val="4"/>
                <c:pt idx="0">
                  <c:v>2003</c:v>
                </c:pt>
                <c:pt idx="1">
                  <c:v>2004</c:v>
                </c:pt>
                <c:pt idx="2">
                  <c:v>2005</c:v>
                </c:pt>
                <c:pt idx="3">
                  <c:v>2006</c:v>
                </c:pt>
              </c:numCache>
            </c:numRef>
          </c:xVal>
          <c:yVal>
            <c:numRef>
              <c:f>Sheet1!$M$134:$P$134</c:f>
              <c:numCache>
                <c:formatCode>General</c:formatCode>
                <c:ptCount val="4"/>
                <c:pt idx="0">
                  <c:v>2.7604600000000042E-2</c:v>
                </c:pt>
                <c:pt idx="1">
                  <c:v>1.6497999999999999E-2</c:v>
                </c:pt>
                <c:pt idx="2">
                  <c:v>1.3037699999999998E-2</c:v>
                </c:pt>
                <c:pt idx="3">
                  <c:v>1.4954500000000001E-2</c:v>
                </c:pt>
              </c:numCache>
            </c:numRef>
          </c:yVal>
        </c:ser>
        <c:ser>
          <c:idx val="3"/>
          <c:order val="3"/>
          <c:tx>
            <c:v>Treated 2</c:v>
          </c:tx>
          <c:spPr>
            <a:ln w="22225">
              <a:solidFill>
                <a:schemeClr val="tx1"/>
              </a:solidFill>
            </a:ln>
          </c:spPr>
          <c:marker>
            <c:symbol val="none"/>
          </c:marker>
          <c:xVal>
            <c:numRef>
              <c:f>Sheet1!$Q$132:$T$132</c:f>
              <c:numCache>
                <c:formatCode>General</c:formatCode>
                <c:ptCount val="4"/>
                <c:pt idx="0">
                  <c:v>2003</c:v>
                </c:pt>
                <c:pt idx="1">
                  <c:v>2004</c:v>
                </c:pt>
                <c:pt idx="2">
                  <c:v>2005</c:v>
                </c:pt>
                <c:pt idx="3">
                  <c:v>2006</c:v>
                </c:pt>
              </c:numCache>
            </c:numRef>
          </c:xVal>
          <c:yVal>
            <c:numRef>
              <c:f>Sheet1!$Q$134:$T$134</c:f>
              <c:numCache>
                <c:formatCode>General</c:formatCode>
                <c:ptCount val="4"/>
                <c:pt idx="0">
                  <c:v>1.4102099999999999E-2</c:v>
                </c:pt>
                <c:pt idx="1">
                  <c:v>1.5901500000000027E-2</c:v>
                </c:pt>
                <c:pt idx="2">
                  <c:v>2.4536000000000002E-2</c:v>
                </c:pt>
                <c:pt idx="3">
                  <c:v>4.1513800000000003E-2</c:v>
                </c:pt>
              </c:numCache>
            </c:numRef>
          </c:yVal>
        </c:ser>
        <c:axId val="106951424"/>
        <c:axId val="106952960"/>
      </c:scatterChart>
      <c:valAx>
        <c:axId val="106951424"/>
        <c:scaling>
          <c:orientation val="minMax"/>
          <c:max val="2007"/>
          <c:min val="2002"/>
        </c:scaling>
        <c:axPos val="b"/>
        <c:numFmt formatCode="General" sourceLinked="1"/>
        <c:tickLblPos val="nextTo"/>
        <c:txPr>
          <a:bodyPr/>
          <a:lstStyle/>
          <a:p>
            <a:pPr>
              <a:defRPr baseline="0">
                <a:latin typeface="Times New Roman" pitchFamily="18" charset="0"/>
              </a:defRPr>
            </a:pPr>
            <a:endParaRPr lang="en-US"/>
          </a:p>
        </c:txPr>
        <c:crossAx val="106952960"/>
        <c:crosses val="autoZero"/>
        <c:crossBetween val="midCat"/>
        <c:majorUnit val="1"/>
        <c:minorUnit val="0.1"/>
      </c:valAx>
      <c:valAx>
        <c:axId val="106952960"/>
        <c:scaling>
          <c:orientation val="minMax"/>
        </c:scaling>
        <c:axPos val="l"/>
        <c:majorGridlines>
          <c:spPr>
            <a:ln>
              <a:noFill/>
            </a:ln>
          </c:spPr>
        </c:majorGridlines>
        <c:title>
          <c:tx>
            <c:rich>
              <a:bodyPr rot="-5400000" vert="horz"/>
              <a:lstStyle/>
              <a:p>
                <a:pPr>
                  <a:defRPr baseline="0">
                    <a:latin typeface="Times New Roman" pitchFamily="18" charset="0"/>
                  </a:defRPr>
                </a:pPr>
                <a:r>
                  <a:rPr lang="en-US" b="0" baseline="0">
                    <a:latin typeface="Times New Roman" pitchFamily="18" charset="0"/>
                  </a:rPr>
                  <a:t>Mean</a:t>
                </a:r>
              </a:p>
            </c:rich>
          </c:tx>
          <c:layout>
            <c:manualLayout>
              <c:xMode val="edge"/>
              <c:yMode val="edge"/>
              <c:x val="1.6046964342405021E-2"/>
              <c:y val="0.39540366310431302"/>
            </c:manualLayout>
          </c:layout>
        </c:title>
        <c:numFmt formatCode="General" sourceLinked="1"/>
        <c:tickLblPos val="nextTo"/>
        <c:txPr>
          <a:bodyPr/>
          <a:lstStyle/>
          <a:p>
            <a:pPr>
              <a:defRPr baseline="0">
                <a:latin typeface="Times New Roman" pitchFamily="18" charset="0"/>
              </a:defRPr>
            </a:pPr>
            <a:endParaRPr lang="en-US"/>
          </a:p>
        </c:txPr>
        <c:crossAx val="106951424"/>
        <c:crosses val="autoZero"/>
        <c:crossBetween val="midCat"/>
      </c:valAx>
      <c:spPr>
        <a:ln>
          <a:solidFill>
            <a:schemeClr val="tx1"/>
          </a:solidFill>
        </a:ln>
      </c:spPr>
    </c:plotArea>
    <c:legend>
      <c:legendPos val="r"/>
      <c:legendEntry>
        <c:idx val="0"/>
        <c:txPr>
          <a:bodyPr/>
          <a:lstStyle/>
          <a:p>
            <a:pPr>
              <a:defRPr baseline="0">
                <a:latin typeface="Times New Roman" pitchFamily="18" charset="0"/>
              </a:defRPr>
            </a:pPr>
            <a:endParaRPr lang="en-US"/>
          </a:p>
        </c:txPr>
      </c:legendEntry>
      <c:legendEntry>
        <c:idx val="1"/>
        <c:txPr>
          <a:bodyPr/>
          <a:lstStyle/>
          <a:p>
            <a:pPr>
              <a:defRPr baseline="0">
                <a:latin typeface="Times New Roman" pitchFamily="18" charset="0"/>
              </a:defRPr>
            </a:pPr>
            <a:endParaRPr lang="en-US"/>
          </a:p>
        </c:txPr>
      </c:legendEntry>
      <c:legendEntry>
        <c:idx val="2"/>
        <c:txPr>
          <a:bodyPr/>
          <a:lstStyle/>
          <a:p>
            <a:pPr>
              <a:defRPr baseline="0">
                <a:latin typeface="Times New Roman" pitchFamily="18" charset="0"/>
              </a:defRPr>
            </a:pPr>
            <a:endParaRPr lang="en-US"/>
          </a:p>
        </c:txPr>
      </c:legendEntry>
      <c:legendEntry>
        <c:idx val="3"/>
        <c:txPr>
          <a:bodyPr/>
          <a:lstStyle/>
          <a:p>
            <a:pPr>
              <a:defRPr baseline="0">
                <a:latin typeface="Times New Roman" pitchFamily="18" charset="0"/>
              </a:defRPr>
            </a:pPr>
            <a:endParaRPr lang="en-US"/>
          </a:p>
        </c:txPr>
      </c:legendEntry>
      <c:layout>
        <c:manualLayout>
          <c:xMode val="edge"/>
          <c:yMode val="edge"/>
          <c:x val="0.80883298214154886"/>
          <c:y val="0.33736556189057276"/>
          <c:w val="0.19116701785845114"/>
          <c:h val="0.32526887621885819"/>
        </c:manualLayout>
      </c:layout>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1E29-9163-4294-A8A8-6DAC1A78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43</Pages>
  <Words>12565</Words>
  <Characters>71624</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OU IT</Company>
  <LinksUpToDate>false</LinksUpToDate>
  <CharactersWithSpaces>84021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dc:creator>
  <cp:lastModifiedBy>litt3304</cp:lastModifiedBy>
  <cp:revision>2</cp:revision>
  <cp:lastPrinted>2013-03-04T17:45:00Z</cp:lastPrinted>
  <dcterms:created xsi:type="dcterms:W3CDTF">2013-03-04T19:05:00Z</dcterms:created>
  <dcterms:modified xsi:type="dcterms:W3CDTF">2013-03-04T19:05:00Z</dcterms:modified>
</cp:coreProperties>
</file>