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D1" w:rsidRPr="00D74951" w:rsidRDefault="000777D1" w:rsidP="000777D1">
      <w:pPr>
        <w:ind w:right="-90"/>
        <w:rPr>
          <w:rFonts w:ascii="Cambria" w:hAnsi="Cambria"/>
          <w:b/>
          <w:sz w:val="28"/>
          <w:szCs w:val="28"/>
        </w:rPr>
      </w:pPr>
      <w:r w:rsidRPr="00D74951">
        <w:rPr>
          <w:rFonts w:ascii="Cambria" w:hAnsi="Cambria"/>
          <w:b/>
          <w:sz w:val="28"/>
          <w:szCs w:val="28"/>
        </w:rPr>
        <w:t xml:space="preserve">INTERNATIONAL SECURITY STUDIES (ISS) </w:t>
      </w:r>
    </w:p>
    <w:p w:rsidR="000777D1" w:rsidRPr="00EB715E" w:rsidRDefault="000777D1" w:rsidP="000777D1">
      <w:pPr>
        <w:rPr>
          <w:rFonts w:ascii="Cambria" w:hAnsi="Cambria"/>
        </w:rPr>
      </w:pPr>
    </w:p>
    <w:p w:rsidR="000777D1" w:rsidRPr="00D92B30" w:rsidRDefault="000777D1" w:rsidP="000777D1">
      <w:pPr>
        <w:rPr>
          <w:rFonts w:ascii="Cambria" w:hAnsi="Cambria"/>
          <w:b/>
          <w:i/>
        </w:rPr>
      </w:pPr>
      <w:r>
        <w:rPr>
          <w:rFonts w:ascii="Cambria" w:hAnsi="Cambria"/>
          <w:b/>
          <w:i/>
        </w:rPr>
        <w:br/>
      </w:r>
      <w:r w:rsidRPr="00D92B30">
        <w:rPr>
          <w:rFonts w:ascii="Cambria" w:hAnsi="Cambria"/>
          <w:b/>
          <w:i/>
        </w:rPr>
        <w:t xml:space="preserve">WHAT IS A STRATEGIC COUNTRY?  </w:t>
      </w:r>
    </w:p>
    <w:p w:rsidR="000777D1" w:rsidRPr="00437758" w:rsidRDefault="000777D1" w:rsidP="000777D1">
      <w:pPr>
        <w:rPr>
          <w:rFonts w:ascii="Cambria" w:hAnsi="Cambria"/>
        </w:rPr>
      </w:pPr>
      <w:r>
        <w:rPr>
          <w:rFonts w:ascii="Cambria" w:hAnsi="Cambria"/>
        </w:rPr>
        <w:br/>
      </w:r>
      <w:r w:rsidRPr="00437758">
        <w:rPr>
          <w:rFonts w:ascii="Cambria" w:hAnsi="Cambria"/>
        </w:rPr>
        <w:t xml:space="preserve">The NSEP (National Security Education Program) </w:t>
      </w:r>
      <w:r>
        <w:rPr>
          <w:rFonts w:ascii="Cambria" w:hAnsi="Cambria"/>
        </w:rPr>
        <w:t xml:space="preserve">model </w:t>
      </w:r>
      <w:r w:rsidRPr="00437758">
        <w:rPr>
          <w:rFonts w:ascii="Cambria" w:hAnsi="Cambria"/>
        </w:rPr>
        <w:t xml:space="preserve">was used to develop the International Security Studies major.  NSEP supports students who are eager to study in and about areas of the world critical to U.S. national security and outside Western Europe, Canada, Australia, and New Zealand. Students may look at the NSEP site for a list of their acceptable destinations for study abroad: </w:t>
      </w:r>
      <w:hyperlink r:id="rId4" w:history="1">
        <w:r w:rsidRPr="00437758">
          <w:rPr>
            <w:rStyle w:val="Hyperlink"/>
            <w:rFonts w:ascii="Cambria" w:hAnsi="Cambria"/>
          </w:rPr>
          <w:t>http://www.nsep.gov/content/critical-areas</w:t>
        </w:r>
      </w:hyperlink>
      <w:r w:rsidRPr="00437758">
        <w:rPr>
          <w:rFonts w:ascii="Cambria" w:hAnsi="Cambria"/>
        </w:rPr>
        <w:t xml:space="preserve"> . </w:t>
      </w:r>
    </w:p>
    <w:p w:rsidR="000777D1" w:rsidRPr="00437758" w:rsidRDefault="000777D1" w:rsidP="000777D1">
      <w:pPr>
        <w:rPr>
          <w:rFonts w:ascii="Cambria" w:hAnsi="Cambria"/>
          <w:color w:val="FF0000"/>
        </w:rPr>
      </w:pPr>
    </w:p>
    <w:p w:rsidR="000777D1" w:rsidRPr="00437758" w:rsidRDefault="000777D1" w:rsidP="000777D1">
      <w:pPr>
        <w:rPr>
          <w:rFonts w:ascii="Cambria" w:hAnsi="Cambria"/>
          <w:b/>
          <w:i/>
        </w:rPr>
      </w:pPr>
      <w:r>
        <w:rPr>
          <w:rFonts w:ascii="Cambria" w:hAnsi="Cambria"/>
          <w:b/>
          <w:i/>
        </w:rPr>
        <w:br/>
      </w:r>
      <w:r w:rsidRPr="00437758">
        <w:rPr>
          <w:rFonts w:ascii="Cambria" w:hAnsi="Cambria"/>
          <w:b/>
          <w:i/>
        </w:rPr>
        <w:t xml:space="preserve">WHAT LANGUAGE MAY I STUDY AS AN ISS MAJOR? </w:t>
      </w:r>
    </w:p>
    <w:p w:rsidR="000777D1" w:rsidRPr="00437758" w:rsidRDefault="000777D1" w:rsidP="000777D1">
      <w:pPr>
        <w:rPr>
          <w:rFonts w:ascii="Cambria" w:hAnsi="Cambria"/>
        </w:rPr>
      </w:pPr>
      <w:r>
        <w:rPr>
          <w:rFonts w:ascii="Cambria" w:hAnsi="Cambria"/>
        </w:rPr>
        <w:br/>
      </w:r>
      <w:r w:rsidRPr="00437758">
        <w:rPr>
          <w:rFonts w:ascii="Cambria" w:hAnsi="Cambria"/>
        </w:rPr>
        <w:t xml:space="preserve">The list of languages emphasized by NSEP reflects a need for more than 70 languages. However, ISS majors should keep in mind that only a certain number of strategic languages are offered on the OU campus, so </w:t>
      </w:r>
      <w:r>
        <w:rPr>
          <w:rFonts w:ascii="Cambria" w:hAnsi="Cambria"/>
        </w:rPr>
        <w:t xml:space="preserve">ISS </w:t>
      </w:r>
      <w:r w:rsidRPr="00437758">
        <w:rPr>
          <w:rFonts w:ascii="Cambria" w:hAnsi="Cambria"/>
        </w:rPr>
        <w:t xml:space="preserve">students </w:t>
      </w:r>
      <w:r>
        <w:rPr>
          <w:rFonts w:ascii="Cambria" w:hAnsi="Cambria"/>
        </w:rPr>
        <w:t>should be prepared to study</w:t>
      </w:r>
      <w:r w:rsidRPr="00437758">
        <w:rPr>
          <w:rFonts w:ascii="Cambria" w:hAnsi="Cambria"/>
        </w:rPr>
        <w:t xml:space="preserve"> Russian, Chinese, Japanese, Arabic, Hebrew, Portuguese, Spanish, and in some cases French. OU offers various </w:t>
      </w:r>
      <w:r>
        <w:rPr>
          <w:rFonts w:ascii="Cambria" w:hAnsi="Cambria"/>
        </w:rPr>
        <w:t>study abroad programs in</w:t>
      </w:r>
      <w:r w:rsidRPr="00437758">
        <w:rPr>
          <w:rFonts w:ascii="Cambria" w:hAnsi="Cambria"/>
        </w:rPr>
        <w:t xml:space="preserve"> strategic countries that correspond with the languages listed above. </w:t>
      </w:r>
    </w:p>
    <w:p w:rsidR="000777D1" w:rsidRPr="00437758" w:rsidRDefault="000777D1" w:rsidP="000777D1">
      <w:pPr>
        <w:rPr>
          <w:rFonts w:ascii="Cambria" w:hAnsi="Cambria"/>
        </w:rPr>
      </w:pPr>
    </w:p>
    <w:p w:rsidR="000777D1" w:rsidRPr="00437758" w:rsidRDefault="000777D1" w:rsidP="000777D1">
      <w:pPr>
        <w:rPr>
          <w:rFonts w:ascii="Cambria" w:hAnsi="Cambria"/>
          <w:b/>
          <w:i/>
        </w:rPr>
      </w:pPr>
      <w:r w:rsidRPr="00437758">
        <w:rPr>
          <w:rFonts w:ascii="Cambria" w:hAnsi="Cambria"/>
          <w:b/>
          <w:i/>
        </w:rPr>
        <w:t xml:space="preserve">WHERE CAN I STUDY ABROAD? </w:t>
      </w:r>
      <w:r w:rsidRPr="00437758">
        <w:rPr>
          <w:rFonts w:ascii="Cambria" w:hAnsi="Cambria"/>
          <w:b/>
          <w:i/>
        </w:rPr>
        <w:br/>
      </w:r>
      <w:r>
        <w:rPr>
          <w:rFonts w:ascii="Cambria" w:hAnsi="Cambria"/>
        </w:rPr>
        <w:br/>
      </w:r>
      <w:r w:rsidRPr="00437758">
        <w:rPr>
          <w:rFonts w:ascii="Cambria" w:hAnsi="Cambria"/>
        </w:rPr>
        <w:t xml:space="preserve">It is of particular importance that students majoring in ISS conduct their study abroad in a “strategic” area, as defined by NSEP, and that they use their language of instruction here at OU as a guide for where they go. </w:t>
      </w:r>
      <w:r>
        <w:rPr>
          <w:rFonts w:ascii="Cambria" w:hAnsi="Cambria"/>
        </w:rPr>
        <w:t xml:space="preserve">To the right </w:t>
      </w:r>
      <w:r w:rsidRPr="00437758">
        <w:rPr>
          <w:rFonts w:ascii="Cambria" w:hAnsi="Cambria"/>
        </w:rPr>
        <w:t xml:space="preserve">is </w:t>
      </w:r>
      <w:r>
        <w:rPr>
          <w:rFonts w:ascii="Cambria" w:hAnsi="Cambria"/>
        </w:rPr>
        <w:t>a</w:t>
      </w:r>
      <w:r w:rsidRPr="00437758">
        <w:rPr>
          <w:rFonts w:ascii="Cambria" w:hAnsi="Cambria"/>
        </w:rPr>
        <w:t xml:space="preserve"> list of </w:t>
      </w:r>
      <w:r>
        <w:rPr>
          <w:rFonts w:ascii="Cambria" w:hAnsi="Cambria"/>
        </w:rPr>
        <w:t>strategic countries</w:t>
      </w:r>
      <w:r w:rsidRPr="00437758">
        <w:rPr>
          <w:rFonts w:ascii="Cambria" w:hAnsi="Cambria"/>
        </w:rPr>
        <w:t xml:space="preserve"> that students may </w:t>
      </w:r>
      <w:r>
        <w:rPr>
          <w:rFonts w:ascii="Cambria" w:hAnsi="Cambria"/>
        </w:rPr>
        <w:t>consider when making a decision on where</w:t>
      </w:r>
      <w:r w:rsidRPr="00437758">
        <w:rPr>
          <w:rFonts w:ascii="Cambria" w:hAnsi="Cambria"/>
        </w:rPr>
        <w:t xml:space="preserve"> to study abroad for the major. </w:t>
      </w:r>
      <w:r>
        <w:rPr>
          <w:rFonts w:ascii="Cambria" w:hAnsi="Cambria"/>
        </w:rPr>
        <w:t>Official</w:t>
      </w:r>
      <w:r w:rsidRPr="00437758">
        <w:rPr>
          <w:rFonts w:ascii="Cambria" w:hAnsi="Cambria"/>
        </w:rPr>
        <w:t xml:space="preserve"> OU </w:t>
      </w:r>
      <w:r>
        <w:rPr>
          <w:rFonts w:ascii="Cambria" w:hAnsi="Cambria"/>
        </w:rPr>
        <w:t>program countries</w:t>
      </w:r>
      <w:r w:rsidRPr="00437758">
        <w:rPr>
          <w:rFonts w:ascii="Cambria" w:hAnsi="Cambria"/>
        </w:rPr>
        <w:t xml:space="preserve"> for study abroad </w:t>
      </w:r>
      <w:r>
        <w:rPr>
          <w:rFonts w:ascii="Cambria" w:hAnsi="Cambria"/>
        </w:rPr>
        <w:t>are listed here</w:t>
      </w:r>
      <w:r w:rsidRPr="00437758">
        <w:rPr>
          <w:rFonts w:ascii="Cambria" w:hAnsi="Cambria"/>
        </w:rPr>
        <w:t xml:space="preserve">.  In some cases, OU will not offer student travel programs to particular countries for security reasons. </w:t>
      </w:r>
      <w:r>
        <w:rPr>
          <w:rFonts w:ascii="Cambria" w:hAnsi="Cambria"/>
        </w:rPr>
        <w:t xml:space="preserve">On the Education Abroad (EA) website, students </w:t>
      </w:r>
      <w:r>
        <w:rPr>
          <w:rFonts w:ascii="Cambria" w:hAnsi="Cambria"/>
        </w:rPr>
        <w:lastRenderedPageBreak/>
        <w:t xml:space="preserve">may search for several reciprocal exchanges and study abroad programs offered by other universities in the United States or abroad, as well as programs offered by other agencies </w:t>
      </w:r>
      <w:r w:rsidRPr="00437758">
        <w:rPr>
          <w:rFonts w:ascii="Cambria" w:hAnsi="Cambria"/>
        </w:rPr>
        <w:t>and affiliated programs</w:t>
      </w:r>
      <w:r>
        <w:rPr>
          <w:rFonts w:ascii="Cambria" w:hAnsi="Cambria"/>
        </w:rPr>
        <w:t xml:space="preserve">: </w:t>
      </w:r>
      <w:hyperlink r:id="rId5" w:history="1">
        <w:r w:rsidRPr="00437758">
          <w:rPr>
            <w:rStyle w:val="Hyperlink"/>
            <w:rFonts w:ascii="Cambria" w:hAnsi="Cambria"/>
          </w:rPr>
          <w:t>https://oklahoma.studioabroad.com/index.cfm?FuseAction=Programs.SimpleSearch</w:t>
        </w:r>
      </w:hyperlink>
      <w:r w:rsidRPr="00437758">
        <w:rPr>
          <w:rFonts w:ascii="Cambria" w:hAnsi="Cambria"/>
        </w:rPr>
        <w:t xml:space="preserve"> </w:t>
      </w:r>
      <w:r w:rsidRPr="00437758">
        <w:rPr>
          <w:rFonts w:ascii="Cambria" w:hAnsi="Cambria"/>
        </w:rPr>
        <w:br/>
      </w:r>
    </w:p>
    <w:p w:rsidR="000777D1" w:rsidRPr="00437758" w:rsidRDefault="000777D1" w:rsidP="000777D1">
      <w:pPr>
        <w:rPr>
          <w:rFonts w:ascii="Cambria" w:hAnsi="Cambria"/>
          <w:b/>
          <w:i/>
        </w:rPr>
      </w:pPr>
      <w:r>
        <w:rPr>
          <w:rFonts w:ascii="Cambria" w:hAnsi="Cambria"/>
          <w:b/>
          <w:i/>
        </w:rPr>
        <w:br/>
      </w:r>
      <w:r w:rsidRPr="00437758">
        <w:rPr>
          <w:rFonts w:ascii="Cambria" w:hAnsi="Cambria"/>
          <w:b/>
          <w:i/>
        </w:rPr>
        <w:t>STRATEGIC LANGUAGES AND OPTIONS FOR STUDY ABROAD</w:t>
      </w:r>
      <w:proofErr w:type="gramStart"/>
      <w:r>
        <w:rPr>
          <w:rFonts w:ascii="Cambria" w:hAnsi="Cambria"/>
          <w:b/>
          <w:i/>
        </w:rPr>
        <w:t>:</w:t>
      </w:r>
      <w:proofErr w:type="gramEnd"/>
      <w:r w:rsidRPr="00437758">
        <w:rPr>
          <w:rFonts w:ascii="Cambria" w:hAnsi="Cambria"/>
          <w:b/>
          <w:i/>
        </w:rPr>
        <w:br/>
      </w:r>
      <w:r>
        <w:rPr>
          <w:rFonts w:ascii="Cambria" w:hAnsi="Cambria"/>
        </w:rPr>
        <w:br/>
      </w:r>
      <w:r w:rsidRPr="00437758">
        <w:rPr>
          <w:rFonts w:ascii="Cambria" w:hAnsi="Cambria"/>
        </w:rPr>
        <w:t>T</w:t>
      </w:r>
      <w:r>
        <w:rPr>
          <w:rFonts w:ascii="Cambria" w:hAnsi="Cambria"/>
        </w:rPr>
        <w:t>he</w:t>
      </w:r>
      <w:r w:rsidRPr="00437758">
        <w:rPr>
          <w:rFonts w:ascii="Cambria" w:hAnsi="Cambria"/>
        </w:rPr>
        <w:t xml:space="preserve"> languages</w:t>
      </w:r>
      <w:r>
        <w:rPr>
          <w:rFonts w:ascii="Cambria" w:hAnsi="Cambria"/>
        </w:rPr>
        <w:t xml:space="preserve"> listed below</w:t>
      </w:r>
      <w:r w:rsidRPr="00437758">
        <w:rPr>
          <w:rFonts w:ascii="Cambria" w:hAnsi="Cambria"/>
        </w:rPr>
        <w:t xml:space="preserve"> may be spoken in other strategic countries as well, but only those </w:t>
      </w:r>
      <w:r>
        <w:rPr>
          <w:rFonts w:ascii="Cambria" w:hAnsi="Cambria"/>
        </w:rPr>
        <w:t xml:space="preserve">countries </w:t>
      </w:r>
      <w:r w:rsidRPr="00437758">
        <w:rPr>
          <w:rFonts w:ascii="Cambria" w:hAnsi="Cambria"/>
        </w:rPr>
        <w:t>current</w:t>
      </w:r>
      <w:r>
        <w:rPr>
          <w:rFonts w:ascii="Cambria" w:hAnsi="Cambria"/>
        </w:rPr>
        <w:t>ly listed</w:t>
      </w:r>
      <w:r w:rsidRPr="00437758">
        <w:rPr>
          <w:rFonts w:ascii="Cambria" w:hAnsi="Cambria"/>
        </w:rPr>
        <w:t xml:space="preserve"> on the EA website are </w:t>
      </w:r>
      <w:r>
        <w:rPr>
          <w:rFonts w:ascii="Cambria" w:hAnsi="Cambria"/>
        </w:rPr>
        <w:t>represented</w:t>
      </w:r>
      <w:r w:rsidRPr="00437758">
        <w:rPr>
          <w:rFonts w:ascii="Cambria" w:hAnsi="Cambria"/>
        </w:rPr>
        <w:t xml:space="preserve"> here. If students find other options through other universities not on the list, please bring that </w:t>
      </w:r>
      <w:r>
        <w:rPr>
          <w:rFonts w:ascii="Cambria" w:hAnsi="Cambria"/>
        </w:rPr>
        <w:t xml:space="preserve">information to an IAS </w:t>
      </w:r>
      <w:r w:rsidRPr="00437758">
        <w:rPr>
          <w:rFonts w:ascii="Cambria" w:hAnsi="Cambria"/>
        </w:rPr>
        <w:t>advisor for consideration.</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RUSSIAN language</w:t>
      </w:r>
      <w:r w:rsidRPr="00437758">
        <w:rPr>
          <w:rFonts w:ascii="Cambria" w:hAnsi="Cambria"/>
        </w:rPr>
        <w:t xml:space="preserve"> –Russia and Ukraine. </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CHINESE language</w:t>
      </w:r>
      <w:r w:rsidRPr="00437758">
        <w:rPr>
          <w:rFonts w:ascii="Cambria" w:hAnsi="Cambria"/>
        </w:rPr>
        <w:t xml:space="preserve"> – China and Taiwan.  </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JAPANESE language</w:t>
      </w:r>
      <w:r w:rsidRPr="00437758">
        <w:rPr>
          <w:rFonts w:ascii="Cambria" w:hAnsi="Cambria"/>
        </w:rPr>
        <w:t xml:space="preserve"> – Japan.</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ARABIC language</w:t>
      </w:r>
      <w:r w:rsidRPr="00437758">
        <w:rPr>
          <w:rFonts w:ascii="Cambria" w:hAnsi="Cambria"/>
        </w:rPr>
        <w:t xml:space="preserve"> – Jordan, Israel, Turkey, Morocco and United Arab Emirates.  </w:t>
      </w:r>
      <w:r w:rsidRPr="00437758">
        <w:rPr>
          <w:rFonts w:ascii="Cambria" w:hAnsi="Cambria"/>
        </w:rPr>
        <w:br/>
      </w:r>
    </w:p>
    <w:p w:rsidR="000777D1" w:rsidRDefault="000777D1" w:rsidP="000777D1">
      <w:pPr>
        <w:rPr>
          <w:rFonts w:ascii="Cambria" w:hAnsi="Cambria"/>
        </w:rPr>
      </w:pPr>
      <w:r w:rsidRPr="00437758">
        <w:rPr>
          <w:rFonts w:ascii="Cambria" w:hAnsi="Cambria"/>
          <w:b/>
        </w:rPr>
        <w:t>HEBREW language</w:t>
      </w:r>
      <w:r w:rsidRPr="00437758">
        <w:rPr>
          <w:rFonts w:ascii="Cambria" w:hAnsi="Cambria"/>
        </w:rPr>
        <w:t xml:space="preserve"> – Israe</w:t>
      </w:r>
      <w:r>
        <w:rPr>
          <w:rFonts w:ascii="Cambria" w:hAnsi="Cambria"/>
        </w:rPr>
        <w:t>l</w:t>
      </w:r>
      <w:r w:rsidRPr="00437758">
        <w:rPr>
          <w:rFonts w:ascii="Cambria" w:hAnsi="Cambria"/>
        </w:rPr>
        <w:t xml:space="preserve">.  </w:t>
      </w:r>
    </w:p>
    <w:p w:rsidR="000777D1" w:rsidRDefault="000777D1" w:rsidP="000777D1">
      <w:pPr>
        <w:rPr>
          <w:rFonts w:ascii="Cambria" w:hAnsi="Cambria"/>
        </w:rPr>
      </w:pPr>
    </w:p>
    <w:p w:rsidR="000777D1" w:rsidRPr="00437758" w:rsidRDefault="000777D1" w:rsidP="000777D1">
      <w:pPr>
        <w:rPr>
          <w:rFonts w:ascii="Cambria" w:hAnsi="Cambria"/>
        </w:rPr>
      </w:pPr>
      <w:r w:rsidRPr="00B106D7">
        <w:rPr>
          <w:rFonts w:ascii="Cambria" w:hAnsi="Cambria"/>
          <w:b/>
        </w:rPr>
        <w:t>PERSIAN language</w:t>
      </w:r>
      <w:r>
        <w:rPr>
          <w:rFonts w:ascii="Cambria" w:hAnsi="Cambria"/>
        </w:rPr>
        <w:t xml:space="preserve"> – TBD.</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PORTUGUESE language</w:t>
      </w:r>
      <w:r w:rsidRPr="00437758">
        <w:rPr>
          <w:rFonts w:ascii="Cambria" w:hAnsi="Cambria"/>
        </w:rPr>
        <w:t xml:space="preserve"> –Brazil </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SPANISH language</w:t>
      </w:r>
      <w:r w:rsidRPr="00437758">
        <w:rPr>
          <w:rFonts w:ascii="Cambria" w:hAnsi="Cambria"/>
        </w:rPr>
        <w:t xml:space="preserve"> – Argentina, Chile, Colombia, Ecuador, Mexico, Panama, Peru, </w:t>
      </w:r>
      <w:r>
        <w:rPr>
          <w:rFonts w:ascii="Cambria" w:hAnsi="Cambria"/>
        </w:rPr>
        <w:t xml:space="preserve">and </w:t>
      </w:r>
      <w:r w:rsidRPr="00437758">
        <w:rPr>
          <w:rFonts w:ascii="Cambria" w:hAnsi="Cambria"/>
        </w:rPr>
        <w:t>Uruguay.</w:t>
      </w:r>
    </w:p>
    <w:p w:rsidR="000777D1" w:rsidRPr="00437758" w:rsidRDefault="000777D1" w:rsidP="000777D1">
      <w:pPr>
        <w:rPr>
          <w:rFonts w:ascii="Cambria" w:hAnsi="Cambria"/>
        </w:rPr>
      </w:pPr>
    </w:p>
    <w:p w:rsidR="000777D1" w:rsidRPr="00437758" w:rsidRDefault="000777D1" w:rsidP="000777D1">
      <w:pPr>
        <w:rPr>
          <w:rFonts w:ascii="Cambria" w:hAnsi="Cambria"/>
        </w:rPr>
      </w:pPr>
      <w:r w:rsidRPr="00437758">
        <w:rPr>
          <w:rFonts w:ascii="Cambria" w:hAnsi="Cambria"/>
          <w:b/>
        </w:rPr>
        <w:t>FRENCH language (as approved)</w:t>
      </w:r>
      <w:r w:rsidRPr="00437758">
        <w:rPr>
          <w:rFonts w:ascii="Cambria" w:hAnsi="Cambria"/>
        </w:rPr>
        <w:t xml:space="preserve"> –Africa (South Africa, Senegal and Morocco). Asia (Vietnam and Cambodia).  </w:t>
      </w:r>
    </w:p>
    <w:p w:rsidR="00E62D3D" w:rsidRDefault="00E62D3D">
      <w:bookmarkStart w:id="0" w:name="_GoBack"/>
      <w:bookmarkEnd w:id="0"/>
    </w:p>
    <w:sectPr w:rsidR="00E62D3D" w:rsidSect="00437758">
      <w:footerReference w:type="default" r:id="rId6"/>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58" w:rsidRDefault="000777D1">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5943600" cy="737870"/>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8" w:rsidRDefault="000777D1">
                          <w:pPr>
                            <w:jc w:val="right"/>
                          </w:pPr>
                          <w:r>
                            <w:t>February 24, 2014</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5" o:spid="_x0000_s1026" style="position:absolute;margin-left:0;margin-top:0;width:468pt;height:58.1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" filled="f" stroked="f">
              <v:textbox inset=",0">
                <w:txbxContent>
                  <w:p w:rsidR="00437758" w:rsidRDefault="000777D1">
                    <w:pPr>
                      <w:jc w:val="right"/>
                    </w:pPr>
                    <w:r>
                      <w:t>February 24, 2014</w:t>
                    </w:r>
                  </w:p>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6863080</wp:posOffset>
              </wp:positionH>
              <wp:positionV relativeFrom="page">
                <wp:posOffset>9350375</wp:posOffset>
              </wp:positionV>
              <wp:extent cx="76200" cy="701040"/>
              <wp:effectExtent l="5080" t="6350" r="1397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01040"/>
                        <a:chOff x="2820" y="4935"/>
                        <a:chExt cx="120" cy="1320"/>
                      </a:xfrm>
                    </wpg:grpSpPr>
                    <wps:wsp>
                      <wps:cNvPr id="2"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59C0033E" id="Group 1" o:spid="_x0000_s1026" style="position:absolute;margin-left:540.4pt;margin-top:736.25pt;width:6pt;height:55.2pt;z-index:251659264;mso-height-percent:780;mso-position-horizontal-relative:page;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z3sQAAADaAAAADwAAAGRycy9kb3ducmV2LnhtbESPzWrDMBCE74W8g9hALyWRE2iaOJFN&#10;KJSWNlDy8wCLtLFNrJWx5Nh++6pQ6HGYmW+YXT7YWtyp9ZVjBYt5AoJYO1NxoeByfputQfiAbLB2&#10;TApG8pBnk4cdpsb1fKT7KRQiQtinqKAMoUml9Loki37uGuLoXV1rMUTZFtK02Ee4reUySVbSYsVx&#10;ocSGXkvSt1NnFTwPT50eV0f9Ut2+bGcO18/3zbdSj9NhvwURaAj/4b/2h1GwhN8r8Qb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fPexAAAANoAAAAPAAAAAAAAAAAA&#10;AAAAAKECAABkcnMvZG93bnJldi54bWxQSwUGAAAAAAQABAD5AAAAkg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FWRcQAAADaAAAADwAAAGRycy9kb3ducmV2LnhtbESP3WoCMRSE7wXfIRyhN6WbtUV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VZFxAAAANoAAAAPAAAAAAAAAAAA&#10;AAAAAKECAABkcnMvZG93bnJldi54bWxQSwUGAAAAAAQABAD5AAAAkgM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jOMcQAAADaAAAADwAAAGRycy9kb3ducmV2LnhtbESP3WoCMRSE7wXfIRyhN6WbtVR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M4xxAAAANoAAAAPAAAAAAAAAAAA&#10;AAAAAKECAABkcnMvZG93bnJldi54bWxQSwUGAAAAAAQABAD5AAAAkgMAAAAA&#10;" strokecolor="#4f81bd"/>
              <w10:wrap anchorx="page" anchory="page"/>
            </v:group>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D1"/>
    <w:rsid w:val="000777D1"/>
    <w:rsid w:val="001A5575"/>
    <w:rsid w:val="001D4B21"/>
    <w:rsid w:val="004108AF"/>
    <w:rsid w:val="006866D5"/>
    <w:rsid w:val="00782453"/>
    <w:rsid w:val="007837EC"/>
    <w:rsid w:val="00B02A17"/>
    <w:rsid w:val="00BC73F3"/>
    <w:rsid w:val="00BD2F10"/>
    <w:rsid w:val="00D05862"/>
    <w:rsid w:val="00E62D3D"/>
    <w:rsid w:val="00F9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66EF6C-23B0-4264-9FFB-67BAC829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7D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77D1"/>
    <w:rPr>
      <w:color w:val="0000FF"/>
      <w:u w:val="single"/>
    </w:rPr>
  </w:style>
  <w:style w:type="paragraph" w:styleId="Footer">
    <w:name w:val="footer"/>
    <w:basedOn w:val="Normal"/>
    <w:link w:val="FooterChar"/>
    <w:uiPriority w:val="99"/>
    <w:semiHidden/>
    <w:unhideWhenUsed/>
    <w:rsid w:val="000777D1"/>
    <w:pPr>
      <w:tabs>
        <w:tab w:val="center" w:pos="4680"/>
        <w:tab w:val="right" w:pos="9360"/>
      </w:tabs>
    </w:pPr>
  </w:style>
  <w:style w:type="character" w:customStyle="1" w:styleId="FooterChar">
    <w:name w:val="Footer Char"/>
    <w:basedOn w:val="DefaultParagraphFont"/>
    <w:link w:val="Footer"/>
    <w:uiPriority w:val="99"/>
    <w:semiHidden/>
    <w:rsid w:val="000777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oklahoma.studioabroad.com/index.cfm?FuseAction=Programs.SimpleSearch" TargetMode="External"/><Relationship Id="rId4" Type="http://schemas.openxmlformats.org/officeDocument/2006/relationships/hyperlink" Target="http://www.nsep.gov/content/critical-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Malin</dc:creator>
  <cp:keywords/>
  <dc:description/>
  <cp:lastModifiedBy>Collins, Malin</cp:lastModifiedBy>
  <cp:revision>1</cp:revision>
  <dcterms:created xsi:type="dcterms:W3CDTF">2014-03-05T21:16:00Z</dcterms:created>
  <dcterms:modified xsi:type="dcterms:W3CDTF">2014-03-05T21:17:00Z</dcterms:modified>
</cp:coreProperties>
</file>